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3368" w:leader="none"/>
        </w:tabs>
        <w:jc w:val="center"/>
        <w:rPr/>
      </w:pPr>
      <w:r>
        <w:rPr>
          <w:b/>
          <w:color w:val="000000"/>
        </w:rPr>
        <w:t>ПОЯСНЮВАЛЬНА ЗАПИСКА</w:t>
      </w:r>
      <w:r>
        <w:rPr>
          <w:b/>
          <w:color w:val="000000"/>
          <w:lang w:val="ru-RU"/>
        </w:rPr>
        <w:t xml:space="preserve"> ДО ТАРИФУ НА АБОНПЛАТУ ПО КП «БІЛГОРОД-ДНІСТРОВСЬКВОДОКАНАЛ»</w:t>
      </w:r>
    </w:p>
    <w:p>
      <w:pPr>
        <w:pStyle w:val="Normal"/>
        <w:spacing w:beforeAutospacing="1" w:after="0"/>
        <w:jc w:val="center"/>
        <w:rPr>
          <w:color w:val="606060"/>
          <w:sz w:val="22"/>
          <w:szCs w:val="22"/>
        </w:rPr>
      </w:pPr>
      <w:r>
        <w:rPr>
          <w:color w:val="606060"/>
          <w:sz w:val="22"/>
          <w:szCs w:val="22"/>
        </w:rPr>
        <w:t>Плата за абонентське обслуговування для споживачів послуг централізованого водопостачання та/або централізованого водовідведення, що надаються у багатоквартирних будинках за індивідуальними договорами.</w:t>
      </w:r>
    </w:p>
    <w:p>
      <w:pPr>
        <w:pStyle w:val="Normal"/>
        <w:spacing w:beforeAutospacing="1" w:after="0"/>
        <w:jc w:val="center"/>
        <w:rPr>
          <w:color w:val="606060"/>
          <w:sz w:val="22"/>
          <w:szCs w:val="22"/>
        </w:rPr>
      </w:pPr>
      <w:r>
        <w:rPr>
          <w:color w:val="606060"/>
          <w:sz w:val="22"/>
          <w:szCs w:val="22"/>
        </w:rPr>
      </w:r>
    </w:p>
    <w:p>
      <w:pPr>
        <w:pStyle w:val="Normal"/>
        <w:jc w:val="both"/>
        <w:rPr>
          <w:color w:val="000000"/>
        </w:rPr>
      </w:pPr>
      <w:r>
        <w:rPr>
          <w:color w:val="000000"/>
          <w:sz w:val="29"/>
          <w:szCs w:val="29"/>
          <w:lang w:val="ru-RU"/>
        </w:rPr>
        <w:t xml:space="preserve">      </w:t>
      </w:r>
      <w:r>
        <w:rPr>
          <w:color w:val="000000"/>
        </w:rPr>
        <w:t>У відповідності до Закону України від 09.11.2017 №2189-VIII «Про житлово-комунальні послуги», Правил надання послуг централізованого водопостачання та централізованого водовідведення, затверджених постановою КМУ від 05.07.2019 №690, плата за абонентське обслуговування сплачується споживачами послуг централізованого водопостачання та/або централізованого водовідведення, які уклали з виконавцями послуг індивідуальні договори.</w:t>
      </w:r>
    </w:p>
    <w:p>
      <w:pPr>
        <w:pStyle w:val="Normal"/>
        <w:jc w:val="both"/>
        <w:rPr>
          <w:color w:val="000000"/>
        </w:rPr>
      </w:pPr>
      <w:r>
        <w:rPr>
          <w:color w:val="000000"/>
        </w:rPr>
        <w:t xml:space="preserve">        </w:t>
      </w:r>
      <w:r>
        <w:rPr>
          <w:color w:val="000000"/>
        </w:rPr>
        <w:t>Плата за абонентське обслуговування для одного абонента централізованого водопостачання та/або централізованого водовідведення не може перевищувати граничного розміру, розрахованого відповідно до постанови КМУ від 21.08.2019 №808 «Про встановлення граничного розміру плати за абонентське обслуговування у розрахунку на одного абонента для комунальних послуг, що надаються споживачам багатоквартирних будинків за індивідуальними договорами».</w:t>
      </w:r>
    </w:p>
    <w:p>
      <w:pPr>
        <w:pStyle w:val="Normal"/>
        <w:jc w:val="both"/>
        <w:rPr>
          <w:color w:val="000000"/>
        </w:rPr>
      </w:pPr>
      <w:r>
        <w:rPr>
          <w:color w:val="000000"/>
        </w:rPr>
      </w:r>
    </w:p>
    <w:tbl>
      <w:tblPr>
        <w:tblW w:w="9655" w:type="dxa"/>
        <w:jc w:val="left"/>
        <w:tblInd w:w="0" w:type="dxa"/>
        <w:tblBorders>
          <w:bottom w:val="single" w:sz="6" w:space="0" w:color="B0C4DE"/>
          <w:insideH w:val="single" w:sz="6" w:space="0" w:color="B0C4DE"/>
        </w:tblBorders>
        <w:tblCellMar>
          <w:top w:w="120" w:type="dxa"/>
          <w:left w:w="120" w:type="dxa"/>
          <w:bottom w:w="120" w:type="dxa"/>
          <w:right w:w="120" w:type="dxa"/>
        </w:tblCellMar>
        <w:tblLook w:val="04a0"/>
      </w:tblPr>
      <w:tblGrid>
        <w:gridCol w:w="3752"/>
        <w:gridCol w:w="2569"/>
        <w:gridCol w:w="1431"/>
        <w:gridCol w:w="1902"/>
      </w:tblGrid>
      <w:tr>
        <w:trPr/>
        <w:tc>
          <w:tcPr>
            <w:tcW w:w="9654" w:type="dxa"/>
            <w:gridSpan w:val="4"/>
            <w:tcBorders>
              <w:bottom w:val="single" w:sz="6" w:space="0" w:color="B0C4DE"/>
              <w:insideH w:val="single" w:sz="6" w:space="0" w:color="B0C4DE"/>
            </w:tcBorders>
            <w:shd w:color="auto" w:fill="DCE8F3" w:val="clear"/>
            <w:vAlign w:val="center"/>
          </w:tcPr>
          <w:p>
            <w:pPr>
              <w:pStyle w:val="Normal"/>
              <w:jc w:val="center"/>
              <w:rPr>
                <w:rFonts w:ascii="Arial" w:hAnsi="Arial" w:cs="Arial"/>
                <w:b/>
                <w:b/>
                <w:bCs/>
                <w:sz w:val="20"/>
                <w:szCs w:val="20"/>
              </w:rPr>
            </w:pPr>
            <w:r>
              <w:rPr>
                <w:rFonts w:cs="Arial" w:ascii="Arial" w:hAnsi="Arial"/>
                <w:b/>
                <w:bCs/>
                <w:sz w:val="20"/>
                <w:szCs w:val="20"/>
              </w:rPr>
              <w:t>Граничний розмір плати за абонентське обслуговування у розрахунку на одного абонента у 2020 році, грн</w:t>
            </w:r>
          </w:p>
        </w:tc>
      </w:tr>
      <w:tr>
        <w:trPr/>
        <w:tc>
          <w:tcPr>
            <w:tcW w:w="375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 </w:t>
            </w:r>
          </w:p>
        </w:tc>
        <w:tc>
          <w:tcPr>
            <w:tcW w:w="2569"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без ПДВ</w:t>
            </w:r>
          </w:p>
        </w:tc>
        <w:tc>
          <w:tcPr>
            <w:tcW w:w="1431"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ПДВ</w:t>
            </w:r>
          </w:p>
        </w:tc>
        <w:tc>
          <w:tcPr>
            <w:tcW w:w="190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з ПДВ</w:t>
            </w:r>
          </w:p>
        </w:tc>
      </w:tr>
      <w:tr>
        <w:trPr/>
        <w:tc>
          <w:tcPr>
            <w:tcW w:w="375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з 01.01.2020</w:t>
            </w:r>
          </w:p>
        </w:tc>
        <w:tc>
          <w:tcPr>
            <w:tcW w:w="2569"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24,84</w:t>
            </w:r>
          </w:p>
        </w:tc>
        <w:tc>
          <w:tcPr>
            <w:tcW w:w="1431"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4,97</w:t>
            </w:r>
          </w:p>
        </w:tc>
        <w:tc>
          <w:tcPr>
            <w:tcW w:w="190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29,81</w:t>
            </w:r>
          </w:p>
        </w:tc>
      </w:tr>
      <w:tr>
        <w:trPr/>
        <w:tc>
          <w:tcPr>
            <w:tcW w:w="375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з 01.07.2020</w:t>
            </w:r>
          </w:p>
        </w:tc>
        <w:tc>
          <w:tcPr>
            <w:tcW w:w="2569"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25,96</w:t>
            </w:r>
          </w:p>
        </w:tc>
        <w:tc>
          <w:tcPr>
            <w:tcW w:w="1431"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5,19</w:t>
            </w:r>
          </w:p>
        </w:tc>
        <w:tc>
          <w:tcPr>
            <w:tcW w:w="190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31,15</w:t>
            </w:r>
          </w:p>
        </w:tc>
      </w:tr>
      <w:tr>
        <w:trPr/>
        <w:tc>
          <w:tcPr>
            <w:tcW w:w="375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з 01.12.2020</w:t>
            </w:r>
          </w:p>
        </w:tc>
        <w:tc>
          <w:tcPr>
            <w:tcW w:w="2569"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26,82</w:t>
            </w:r>
          </w:p>
        </w:tc>
        <w:tc>
          <w:tcPr>
            <w:tcW w:w="1431"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5,36</w:t>
            </w:r>
          </w:p>
        </w:tc>
        <w:tc>
          <w:tcPr>
            <w:tcW w:w="1902" w:type="dxa"/>
            <w:tcBorders/>
            <w:shd w:color="auto" w:fill="FFFFFF" w:val="clear"/>
            <w:tcMar>
              <w:top w:w="15" w:type="dxa"/>
              <w:left w:w="15" w:type="dxa"/>
              <w:bottom w:w="15" w:type="dxa"/>
              <w:right w:w="15" w:type="dxa"/>
            </w:tcMar>
            <w:vAlign w:val="center"/>
          </w:tcPr>
          <w:p>
            <w:pPr>
              <w:pStyle w:val="Normal"/>
              <w:rPr>
                <w:rFonts w:ascii="Arial" w:hAnsi="Arial" w:cs="Arial"/>
                <w:sz w:val="20"/>
                <w:szCs w:val="20"/>
              </w:rPr>
            </w:pPr>
            <w:r>
              <w:rPr>
                <w:rFonts w:cs="Arial" w:ascii="Arial" w:hAnsi="Arial"/>
                <w:sz w:val="20"/>
                <w:szCs w:val="20"/>
              </w:rPr>
              <w:t>32,18</w:t>
            </w:r>
          </w:p>
        </w:tc>
      </w:tr>
    </w:tbl>
    <w:p>
      <w:pPr>
        <w:pStyle w:val="Normal"/>
        <w:jc w:val="both"/>
        <w:rPr>
          <w:color w:val="000000"/>
          <w:lang w:val="ru-RU"/>
        </w:rPr>
      </w:pPr>
      <w:r>
        <w:rPr>
          <w:color w:val="000000"/>
          <w:lang w:val="ru-RU"/>
        </w:rPr>
        <w:t xml:space="preserve">   </w:t>
      </w:r>
    </w:p>
    <w:p>
      <w:pPr>
        <w:pStyle w:val="Normal"/>
        <w:jc w:val="both"/>
        <w:rPr>
          <w:color w:val="000000"/>
        </w:rPr>
      </w:pPr>
      <w:r>
        <w:rPr>
          <w:color w:val="000000"/>
          <w:lang w:val="ru-RU"/>
        </w:rPr>
        <w:t xml:space="preserve">        </w:t>
      </w:r>
      <w:r>
        <w:rPr>
          <w:color w:val="000000"/>
        </w:rPr>
        <w:t>Плата за абонентське обслуговування у розрахунку на одного абонента на місяць для споживачів послуг централізованого водопостачання та/або централізованого водовідведення, що надаються КП «</w:t>
      </w:r>
      <w:r>
        <w:rPr>
          <w:color w:val="000000"/>
          <w:lang w:val="ru-RU"/>
        </w:rPr>
        <w:t>Білгород-Дністровськводоканал</w:t>
      </w:r>
      <w:r>
        <w:rPr>
          <w:color w:val="000000"/>
        </w:rPr>
        <w:t>» у багатоквартирних будинках за індивідуальними договорами, не є однаковою для усіх абонентів і складається з двох частин:</w:t>
      </w:r>
    </w:p>
    <w:p>
      <w:pPr>
        <w:pStyle w:val="Normal"/>
        <w:jc w:val="both"/>
        <w:rPr>
          <w:color w:val="000000"/>
        </w:rPr>
      </w:pPr>
      <w:r>
        <w:rPr>
          <w:color w:val="000000"/>
        </w:rPr>
        <w:t>1) постійної складової, що є однаковою для усіх абонентів з індивідуальними договорами на централізоване водопостачання та/або централізоване водовідведення та не залежить від наявності у абонента вузла (вузлів) розподільного обліку і до якої відносяться витрати, пов’язані з укладенням договору про централізоване водопостачання та централізоване водовідведення, здійсненням розподілу обсягу спожитих у будинку послуг між споживачами, веденням обліку і стягненням плати за спожиті послуги;</w:t>
      </w:r>
    </w:p>
    <w:p>
      <w:pPr>
        <w:pStyle w:val="Normal"/>
        <w:spacing w:beforeAutospacing="1" w:afterAutospacing="1"/>
        <w:jc w:val="both"/>
        <w:rPr>
          <w:color w:val="000000"/>
        </w:rPr>
      </w:pPr>
      <w:r>
        <w:rPr>
          <w:color w:val="000000"/>
        </w:rPr>
        <w:t>2) змінної складової, яка залежить від кількості взятих на абонентський облік вузлів розподільного обліку води, що належать конкретному абонентові, і пов’язаної з їх обслуговуванням (у тому числі періодичною повіркою); змінна складова для кожного абонента розраховується як добуток плати за обслуговування одного вузла розподільного обліку на кількість взятих на абонентський облік вузлів, що належать цьому абоненту.</w:t>
      </w:r>
    </w:p>
    <w:p>
      <w:pPr>
        <w:pStyle w:val="Normal"/>
        <w:spacing w:beforeAutospacing="1" w:afterAutospacing="1"/>
        <w:jc w:val="both"/>
        <w:rPr>
          <w:color w:val="000000"/>
        </w:rPr>
      </w:pPr>
      <w:r>
        <w:rPr>
          <w:color w:val="000000"/>
        </w:rPr>
        <w:t xml:space="preserve">    </w:t>
      </w:r>
      <w:r>
        <w:rPr>
          <w:color w:val="000000"/>
        </w:rPr>
        <w:t>Загальний розмір плати за абонентське обслуговування у розрахунку на одного абонента на місяць для споживачів послуг централізованого водопостачання та/або централізованого водовідведення багатоквартирних будинках за індивідуальними договорами складає:</w:t>
      </w:r>
    </w:p>
    <w:p>
      <w:pPr>
        <w:pStyle w:val="Normal"/>
        <w:spacing w:beforeAutospacing="1" w:afterAutospacing="1"/>
        <w:jc w:val="both"/>
        <w:rPr>
          <w:color w:val="000000"/>
        </w:rPr>
      </w:pPr>
      <w:r>
        <w:rPr>
          <w:color w:val="000000"/>
        </w:rPr>
      </w:r>
    </w:p>
    <w:tbl>
      <w:tblPr>
        <w:tblW w:w="9655" w:type="dxa"/>
        <w:jc w:val="left"/>
        <w:tblInd w:w="0" w:type="dxa"/>
        <w:tblBorders>
          <w:bottom w:val="single" w:sz="6" w:space="0" w:color="B0C4DE"/>
          <w:insideH w:val="single" w:sz="6" w:space="0" w:color="B0C4DE"/>
        </w:tblBorders>
        <w:tblCellMar>
          <w:top w:w="120" w:type="dxa"/>
          <w:left w:w="120" w:type="dxa"/>
          <w:bottom w:w="120" w:type="dxa"/>
          <w:right w:w="120" w:type="dxa"/>
        </w:tblCellMar>
        <w:tblLook w:val="04a0"/>
      </w:tblPr>
      <w:tblGrid>
        <w:gridCol w:w="5116"/>
        <w:gridCol w:w="1890"/>
        <w:gridCol w:w="1168"/>
        <w:gridCol w:w="1480"/>
      </w:tblGrid>
      <w:tr>
        <w:trPr/>
        <w:tc>
          <w:tcPr>
            <w:tcW w:w="9654" w:type="dxa"/>
            <w:gridSpan w:val="4"/>
            <w:tcBorders>
              <w:bottom w:val="single" w:sz="6" w:space="0" w:color="B0C4DE"/>
              <w:insideH w:val="single" w:sz="6" w:space="0" w:color="B0C4DE"/>
            </w:tcBorders>
            <w:shd w:color="auto" w:fill="DCE8F3" w:val="clear"/>
            <w:vAlign w:val="center"/>
          </w:tcPr>
          <w:p>
            <w:pPr>
              <w:pStyle w:val="Normal"/>
              <w:jc w:val="center"/>
              <w:rPr>
                <w:b/>
                <w:b/>
                <w:bCs/>
              </w:rPr>
            </w:pPr>
            <w:r>
              <w:rPr>
                <w:b/>
                <w:bCs/>
              </w:rPr>
              <w:t>Загальний розмір плати за абонентське обслуговування у розрахунку на одного абонента на місяць на  2020, грн</w:t>
            </w:r>
          </w:p>
        </w:tc>
      </w:tr>
      <w:tr>
        <w:trPr/>
        <w:tc>
          <w:tcPr>
            <w:tcW w:w="5116" w:type="dxa"/>
            <w:tcBorders/>
            <w:shd w:color="auto" w:fill="FFFFFF" w:val="clear"/>
            <w:tcMar>
              <w:top w:w="15" w:type="dxa"/>
              <w:left w:w="15" w:type="dxa"/>
              <w:bottom w:w="15" w:type="dxa"/>
              <w:right w:w="15" w:type="dxa"/>
            </w:tcMar>
            <w:vAlign w:val="center"/>
          </w:tcPr>
          <w:p>
            <w:pPr>
              <w:pStyle w:val="Normal"/>
              <w:rPr/>
            </w:pPr>
            <w:r>
              <w:rPr/>
              <w:t>Для споживачів</w:t>
            </w:r>
          </w:p>
        </w:tc>
        <w:tc>
          <w:tcPr>
            <w:tcW w:w="1890" w:type="dxa"/>
            <w:tcBorders/>
            <w:shd w:color="auto" w:fill="FFFFFF" w:val="clear"/>
            <w:tcMar>
              <w:top w:w="15" w:type="dxa"/>
              <w:left w:w="15" w:type="dxa"/>
              <w:bottom w:w="15" w:type="dxa"/>
              <w:right w:w="15" w:type="dxa"/>
            </w:tcMar>
            <w:vAlign w:val="center"/>
          </w:tcPr>
          <w:p>
            <w:pPr>
              <w:pStyle w:val="Normal"/>
              <w:rPr/>
            </w:pPr>
            <w:r>
              <w:rPr/>
              <w:t>без ПДВ</w:t>
            </w:r>
          </w:p>
        </w:tc>
        <w:tc>
          <w:tcPr>
            <w:tcW w:w="1168" w:type="dxa"/>
            <w:tcBorders/>
            <w:shd w:color="auto" w:fill="FFFFFF" w:val="clear"/>
            <w:tcMar>
              <w:top w:w="15" w:type="dxa"/>
              <w:left w:w="15" w:type="dxa"/>
              <w:bottom w:w="15" w:type="dxa"/>
              <w:right w:w="15" w:type="dxa"/>
            </w:tcMar>
            <w:vAlign w:val="center"/>
          </w:tcPr>
          <w:p>
            <w:pPr>
              <w:pStyle w:val="Normal"/>
              <w:rPr/>
            </w:pPr>
            <w:r>
              <w:rPr/>
              <w:t>ПДВ</w:t>
            </w:r>
          </w:p>
        </w:tc>
        <w:tc>
          <w:tcPr>
            <w:tcW w:w="1480" w:type="dxa"/>
            <w:tcBorders/>
            <w:shd w:color="auto" w:fill="FFFFFF" w:val="clear"/>
            <w:tcMar>
              <w:top w:w="15" w:type="dxa"/>
              <w:left w:w="15" w:type="dxa"/>
              <w:bottom w:w="15" w:type="dxa"/>
              <w:right w:w="15" w:type="dxa"/>
            </w:tcMar>
            <w:vAlign w:val="center"/>
          </w:tcPr>
          <w:p>
            <w:pPr>
              <w:pStyle w:val="Normal"/>
              <w:rPr/>
            </w:pPr>
            <w:r>
              <w:rPr/>
              <w:t>з ПДВ</w:t>
            </w:r>
          </w:p>
        </w:tc>
      </w:tr>
      <w:tr>
        <w:trPr/>
        <w:tc>
          <w:tcPr>
            <w:tcW w:w="5116" w:type="dxa"/>
            <w:tcBorders/>
            <w:shd w:color="auto" w:fill="FFFFFF" w:val="clear"/>
            <w:tcMar>
              <w:top w:w="15" w:type="dxa"/>
              <w:left w:w="15" w:type="dxa"/>
              <w:bottom w:w="15" w:type="dxa"/>
              <w:right w:w="15" w:type="dxa"/>
            </w:tcMar>
            <w:vAlign w:val="center"/>
          </w:tcPr>
          <w:p>
            <w:pPr>
              <w:pStyle w:val="Normal"/>
              <w:rPr/>
            </w:pPr>
            <w:r>
              <w:rPr/>
              <w:t>без приладів обліку</w:t>
            </w:r>
          </w:p>
        </w:tc>
        <w:tc>
          <w:tcPr>
            <w:tcW w:w="1890" w:type="dxa"/>
            <w:tcBorders/>
            <w:shd w:color="auto" w:fill="FFFFFF" w:val="clear"/>
            <w:tcMar>
              <w:top w:w="15" w:type="dxa"/>
              <w:left w:w="15" w:type="dxa"/>
              <w:bottom w:w="15" w:type="dxa"/>
              <w:right w:w="15" w:type="dxa"/>
            </w:tcMar>
            <w:vAlign w:val="center"/>
          </w:tcPr>
          <w:p>
            <w:pPr>
              <w:pStyle w:val="Normal"/>
              <w:rPr>
                <w:lang w:val="ru-RU"/>
              </w:rPr>
            </w:pPr>
            <w:r>
              <w:rPr>
                <w:lang w:val="ru-RU"/>
              </w:rPr>
              <w:t>15,86</w:t>
            </w:r>
          </w:p>
        </w:tc>
        <w:tc>
          <w:tcPr>
            <w:tcW w:w="1168" w:type="dxa"/>
            <w:tcBorders/>
            <w:shd w:color="auto" w:fill="FFFFFF" w:val="clear"/>
            <w:tcMar>
              <w:top w:w="15" w:type="dxa"/>
              <w:left w:w="15" w:type="dxa"/>
              <w:bottom w:w="15" w:type="dxa"/>
              <w:right w:w="15" w:type="dxa"/>
            </w:tcMar>
            <w:vAlign w:val="center"/>
          </w:tcPr>
          <w:p>
            <w:pPr>
              <w:pStyle w:val="Normal"/>
              <w:rPr>
                <w:lang w:val="ru-RU"/>
              </w:rPr>
            </w:pPr>
            <w:r>
              <w:rPr>
                <w:lang w:val="ru-RU"/>
              </w:rPr>
              <w:t>3,17</w:t>
            </w:r>
          </w:p>
        </w:tc>
        <w:tc>
          <w:tcPr>
            <w:tcW w:w="1480" w:type="dxa"/>
            <w:tcBorders/>
            <w:shd w:color="auto" w:fill="FFFFFF" w:val="clear"/>
            <w:tcMar>
              <w:top w:w="15" w:type="dxa"/>
              <w:left w:w="15" w:type="dxa"/>
              <w:bottom w:w="15" w:type="dxa"/>
              <w:right w:w="15" w:type="dxa"/>
            </w:tcMar>
            <w:vAlign w:val="center"/>
          </w:tcPr>
          <w:p>
            <w:pPr>
              <w:pStyle w:val="Normal"/>
              <w:rPr>
                <w:lang w:val="ru-RU"/>
              </w:rPr>
            </w:pPr>
            <w:r>
              <w:rPr/>
              <w:t>1</w:t>
            </w:r>
            <w:r>
              <w:rPr>
                <w:lang w:val="ru-RU"/>
              </w:rPr>
              <w:t>9,03</w:t>
            </w:r>
          </w:p>
        </w:tc>
      </w:tr>
      <w:tr>
        <w:trPr/>
        <w:tc>
          <w:tcPr>
            <w:tcW w:w="5116" w:type="dxa"/>
            <w:tcBorders/>
            <w:shd w:color="auto" w:fill="FFFFFF" w:val="clear"/>
            <w:tcMar>
              <w:top w:w="15" w:type="dxa"/>
              <w:left w:w="15" w:type="dxa"/>
              <w:bottom w:w="15" w:type="dxa"/>
              <w:right w:w="15" w:type="dxa"/>
            </w:tcMar>
            <w:vAlign w:val="center"/>
          </w:tcPr>
          <w:p>
            <w:pPr>
              <w:pStyle w:val="Normal"/>
              <w:rPr/>
            </w:pPr>
            <w:r>
              <w:rPr/>
              <w:t>з 1-м приладом обліку</w:t>
            </w:r>
          </w:p>
        </w:tc>
        <w:tc>
          <w:tcPr>
            <w:tcW w:w="1890" w:type="dxa"/>
            <w:tcBorders/>
            <w:shd w:color="auto" w:fill="FFFFFF" w:val="clear"/>
            <w:tcMar>
              <w:top w:w="15" w:type="dxa"/>
              <w:left w:w="15" w:type="dxa"/>
              <w:bottom w:w="15" w:type="dxa"/>
              <w:right w:w="15" w:type="dxa"/>
            </w:tcMar>
            <w:vAlign w:val="center"/>
          </w:tcPr>
          <w:p>
            <w:pPr>
              <w:pStyle w:val="Normal"/>
              <w:rPr>
                <w:lang w:val="ru-RU"/>
              </w:rPr>
            </w:pPr>
            <w:r>
              <w:rPr/>
              <w:t>1</w:t>
            </w:r>
            <w:r>
              <w:rPr>
                <w:lang w:val="ru-RU"/>
              </w:rPr>
              <w:t>8,36</w:t>
            </w:r>
          </w:p>
        </w:tc>
        <w:tc>
          <w:tcPr>
            <w:tcW w:w="1168" w:type="dxa"/>
            <w:tcBorders/>
            <w:shd w:color="auto" w:fill="FFFFFF" w:val="clear"/>
            <w:tcMar>
              <w:top w:w="15" w:type="dxa"/>
              <w:left w:w="15" w:type="dxa"/>
              <w:bottom w:w="15" w:type="dxa"/>
              <w:right w:w="15" w:type="dxa"/>
            </w:tcMar>
            <w:vAlign w:val="center"/>
          </w:tcPr>
          <w:p>
            <w:pPr>
              <w:pStyle w:val="Normal"/>
              <w:rPr>
                <w:lang w:val="ru-RU"/>
              </w:rPr>
            </w:pPr>
            <w:r>
              <w:rPr>
                <w:lang w:val="ru-RU"/>
              </w:rPr>
              <w:t>3,67</w:t>
            </w:r>
          </w:p>
        </w:tc>
        <w:tc>
          <w:tcPr>
            <w:tcW w:w="1480" w:type="dxa"/>
            <w:tcBorders/>
            <w:shd w:color="auto" w:fill="FFFFFF" w:val="clear"/>
            <w:tcMar>
              <w:top w:w="15" w:type="dxa"/>
              <w:left w:w="15" w:type="dxa"/>
              <w:bottom w:w="15" w:type="dxa"/>
              <w:right w:w="15" w:type="dxa"/>
            </w:tcMar>
            <w:vAlign w:val="center"/>
          </w:tcPr>
          <w:p>
            <w:pPr>
              <w:pStyle w:val="Normal"/>
              <w:rPr>
                <w:lang w:val="ru-RU"/>
              </w:rPr>
            </w:pPr>
            <w:r>
              <w:rPr>
                <w:lang w:val="ru-RU"/>
              </w:rPr>
              <w:t>22,03</w:t>
            </w:r>
          </w:p>
        </w:tc>
      </w:tr>
      <w:tr>
        <w:trPr/>
        <w:tc>
          <w:tcPr>
            <w:tcW w:w="5116" w:type="dxa"/>
            <w:tcBorders/>
            <w:shd w:color="auto" w:fill="FFFFFF" w:val="clear"/>
            <w:tcMar>
              <w:top w:w="15" w:type="dxa"/>
              <w:left w:w="15" w:type="dxa"/>
              <w:bottom w:w="15" w:type="dxa"/>
              <w:right w:w="15" w:type="dxa"/>
            </w:tcMar>
            <w:vAlign w:val="center"/>
          </w:tcPr>
          <w:p>
            <w:pPr>
              <w:pStyle w:val="Normal"/>
              <w:rPr/>
            </w:pPr>
            <w:r>
              <w:rPr/>
              <w:t>з 2-ма приладами обліку</w:t>
            </w:r>
          </w:p>
        </w:tc>
        <w:tc>
          <w:tcPr>
            <w:tcW w:w="1890" w:type="dxa"/>
            <w:tcBorders/>
            <w:shd w:color="auto" w:fill="FFFFFF" w:val="clear"/>
            <w:tcMar>
              <w:top w:w="15" w:type="dxa"/>
              <w:left w:w="15" w:type="dxa"/>
              <w:bottom w:w="15" w:type="dxa"/>
              <w:right w:w="15" w:type="dxa"/>
            </w:tcMar>
            <w:vAlign w:val="center"/>
          </w:tcPr>
          <w:p>
            <w:pPr>
              <w:pStyle w:val="Normal"/>
              <w:rPr>
                <w:lang w:val="ru-RU"/>
              </w:rPr>
            </w:pPr>
            <w:r>
              <w:rPr>
                <w:lang w:val="ru-RU"/>
              </w:rPr>
              <w:t>20,80</w:t>
            </w:r>
          </w:p>
        </w:tc>
        <w:tc>
          <w:tcPr>
            <w:tcW w:w="1168" w:type="dxa"/>
            <w:tcBorders/>
            <w:shd w:color="auto" w:fill="FFFFFF" w:val="clear"/>
            <w:tcMar>
              <w:top w:w="15" w:type="dxa"/>
              <w:left w:w="15" w:type="dxa"/>
              <w:bottom w:w="15" w:type="dxa"/>
              <w:right w:w="15" w:type="dxa"/>
            </w:tcMar>
            <w:vAlign w:val="center"/>
          </w:tcPr>
          <w:p>
            <w:pPr>
              <w:pStyle w:val="Normal"/>
              <w:rPr>
                <w:lang w:val="ru-RU"/>
              </w:rPr>
            </w:pPr>
            <w:r>
              <w:rPr>
                <w:lang w:val="ru-RU"/>
              </w:rPr>
              <w:t>4,16</w:t>
            </w:r>
          </w:p>
        </w:tc>
        <w:tc>
          <w:tcPr>
            <w:tcW w:w="1480" w:type="dxa"/>
            <w:tcBorders/>
            <w:shd w:color="auto" w:fill="FFFFFF" w:val="clear"/>
            <w:tcMar>
              <w:top w:w="15" w:type="dxa"/>
              <w:left w:w="15" w:type="dxa"/>
              <w:bottom w:w="15" w:type="dxa"/>
              <w:right w:w="15" w:type="dxa"/>
            </w:tcMar>
            <w:vAlign w:val="center"/>
          </w:tcPr>
          <w:p>
            <w:pPr>
              <w:pStyle w:val="Normal"/>
              <w:rPr>
                <w:lang w:val="ru-RU"/>
              </w:rPr>
            </w:pPr>
            <w:r>
              <w:rPr/>
              <w:t>2</w:t>
            </w:r>
            <w:r>
              <w:rPr>
                <w:lang w:val="ru-RU"/>
              </w:rPr>
              <w:t>4,96</w:t>
            </w:r>
          </w:p>
        </w:tc>
      </w:tr>
    </w:tbl>
    <w:p>
      <w:pPr>
        <w:pStyle w:val="Normal"/>
        <w:shd w:val="clear" w:color="auto" w:fill="FFFFFF"/>
        <w:jc w:val="both"/>
        <w:rPr>
          <w:color w:val="0D0D0D"/>
        </w:rPr>
      </w:pPr>
      <w:r>
        <w:rPr>
          <w:color w:val="0D0D0D"/>
        </w:rPr>
        <w:t xml:space="preserve">       </w:t>
      </w:r>
      <w:r>
        <w:rPr>
          <w:color w:val="0D0D0D"/>
        </w:rPr>
        <w:t>13 серпня 2019 року набула чинності постанова Кабінету Міністрів України від 5 липня 2019 № 690, якою визначили нові «Правила надання послуг з централізованого водопостачання та централізованого водовідведення і типових договорів про надання послуг з централізованого водопостачання та централізованого водовідведення» для фізичних осіб – населення.</w:t>
      </w:r>
    </w:p>
    <w:p>
      <w:pPr>
        <w:pStyle w:val="Normal"/>
        <w:shd w:val="clear" w:color="auto" w:fill="FFFFFF"/>
        <w:jc w:val="both"/>
        <w:rPr>
          <w:color w:val="0D0D0D"/>
        </w:rPr>
      </w:pPr>
      <w:r>
        <w:rPr>
          <w:color w:val="0D0D0D"/>
        </w:rPr>
        <w:t xml:space="preserve">       </w:t>
      </w:r>
      <w:r>
        <w:rPr>
          <w:color w:val="0D0D0D"/>
        </w:rPr>
        <w:t>Ці правила прийняли на виконання Закону України «Про житлово-комунальні послуги», який в травні цього року набув чинності у повному обсязі. В них прописали затверджені Кабінетом Міністрів України типові форми договорів.</w:t>
      </w:r>
    </w:p>
    <w:p>
      <w:pPr>
        <w:pStyle w:val="Normal"/>
        <w:shd w:val="clear" w:color="auto" w:fill="FFFFFF"/>
        <w:jc w:val="both"/>
        <w:rPr>
          <w:color w:val="0D0D0D"/>
        </w:rPr>
      </w:pPr>
      <w:r>
        <w:rPr>
          <w:color w:val="0D0D0D"/>
        </w:rPr>
        <w:t>Передбачається, що споживач може обирати з п’яти варіантів договорів, чотири з них стосуються мешканців багатоквартирних будинків</w:t>
      </w:r>
    </w:p>
    <w:p>
      <w:pPr>
        <w:pStyle w:val="Normal"/>
        <w:shd w:val="clear" w:color="auto" w:fill="FFFFFF"/>
        <w:jc w:val="both"/>
        <w:rPr>
          <w:color w:val="0D0D0D"/>
        </w:rPr>
      </w:pPr>
      <w:r>
        <w:rPr>
          <w:b/>
          <w:bCs/>
          <w:color w:val="0D0D0D"/>
        </w:rPr>
        <w:t xml:space="preserve">       </w:t>
      </w:r>
      <w:r>
        <w:rPr>
          <w:b/>
          <w:bCs/>
          <w:color w:val="0D0D0D"/>
        </w:rPr>
        <w:t>Оскільки більшість відсотків споживачів є мешканцями багатоквартирних будинків, то обирати їм потрібно буде з двох варіантів – укладати індивідуальний чи колективний договір.</w:t>
      </w:r>
    </w:p>
    <w:p>
      <w:pPr>
        <w:pStyle w:val="Normal"/>
        <w:shd w:val="clear" w:color="auto" w:fill="FFFFFF"/>
        <w:spacing w:before="300" w:after="300"/>
        <w:jc w:val="both"/>
        <w:rPr>
          <w:color w:val="0D0D0D"/>
        </w:rPr>
      </w:pPr>
      <w:r>
        <w:rPr>
          <w:b/>
          <w:bCs/>
          <w:color w:val="0D0D0D"/>
        </w:rPr>
        <w:t xml:space="preserve">       </w:t>
      </w:r>
      <w:r>
        <w:rPr>
          <w:b/>
          <w:bCs/>
          <w:color w:val="0D0D0D"/>
        </w:rPr>
        <w:t>Ідивідуальний</w:t>
      </w:r>
      <w:r>
        <w:rPr>
          <w:color w:val="0D0D0D"/>
        </w:rPr>
        <w:t> передбачає, що КП "БДВК" зобов’язується надати послугу безпосередньо до квартири.</w:t>
      </w:r>
    </w:p>
    <w:p>
      <w:pPr>
        <w:pStyle w:val="Normal"/>
        <w:shd w:val="clear" w:color="auto" w:fill="FFFFFF"/>
        <w:spacing w:before="300" w:after="300"/>
        <w:jc w:val="both"/>
        <w:rPr>
          <w:color w:val="0D0D0D"/>
        </w:rPr>
      </w:pPr>
      <w:r>
        <w:rPr>
          <w:b/>
          <w:bCs/>
          <w:color w:val="0D0D0D"/>
        </w:rPr>
        <w:t xml:space="preserve">          </w:t>
      </w:r>
      <w:r>
        <w:rPr>
          <w:b/>
          <w:bCs/>
          <w:color w:val="0D0D0D"/>
        </w:rPr>
        <w:t>Колективний</w:t>
      </w:r>
      <w:r>
        <w:rPr>
          <w:color w:val="0D0D0D"/>
        </w:rPr>
        <w:t> договір – коли водоканал надає послугу з водопостачання до зрізу будинку, а далі ОСББ чи уповноважена власниками особа бере на себе обов’язок поставки її до квартир мешканців.</w:t>
      </w:r>
    </w:p>
    <w:p>
      <w:pPr>
        <w:pStyle w:val="Normal"/>
        <w:shd w:val="clear" w:color="auto" w:fill="FFFFFF"/>
        <w:spacing w:before="300" w:after="0"/>
        <w:jc w:val="both"/>
        <w:rPr>
          <w:color w:val="0D0D0D"/>
        </w:rPr>
      </w:pPr>
      <w:r>
        <w:rPr>
          <w:color w:val="0D0D0D"/>
        </w:rPr>
        <w:t xml:space="preserve">          </w:t>
      </w:r>
      <w:r>
        <w:rPr>
          <w:color w:val="0D0D0D"/>
        </w:rPr>
        <w:t>На сьогоднішній день у споживачів з КП "БДВК" укладені індивідуальні договори, тому можна припустити, що більшість захоче продовжити саме таку форму договору. Якщо укласти індивідуальний договір, то водоканал забезпечує постачання води, абонентське обслуговування, видачу всіх довідок, інформування управлінь соціального забезпечення щодо пільг і так далі, а також забезпечує повірку лічильників, прийом та адміністрування платежів, друк та доставку квитанцій на оплату водопостачання та водовідведення.</w:t>
      </w:r>
    </w:p>
    <w:p>
      <w:pPr>
        <w:pStyle w:val="Normal"/>
        <w:shd w:val="clear" w:color="auto" w:fill="FFFFFF"/>
        <w:jc w:val="both"/>
        <w:rPr>
          <w:color w:val="0D0D0D"/>
        </w:rPr>
      </w:pPr>
      <w:r>
        <w:rPr>
          <w:color w:val="0D0D0D"/>
        </w:rPr>
        <w:t xml:space="preserve">          </w:t>
      </w:r>
      <w:r>
        <w:rPr>
          <w:color w:val="0D0D0D"/>
        </w:rPr>
        <w:t>Якщо споживачі заключають колективний договір, то за всі вищеперераховані послуги бере відповідальність уповноважена мешканцями багатоквартирного будинку особа. Вона після отримання води на врізі в будинок самостійно займатиметься її розподілом, збором оплати, інформуванням соцзабезів щодо пільговиків, контролем за наявністю пломб і повіркою лічильників тощо.</w:t>
      </w:r>
    </w:p>
    <w:p>
      <w:pPr>
        <w:pStyle w:val="Normal"/>
        <w:shd w:val="clear" w:color="auto" w:fill="FFFFFF"/>
        <w:jc w:val="both"/>
        <w:rPr>
          <w:color w:val="0D0D0D"/>
        </w:rPr>
      </w:pPr>
      <w:r>
        <w:rPr>
          <w:color w:val="0D0D0D"/>
        </w:rPr>
      </w:r>
    </w:p>
    <w:p>
      <w:pPr>
        <w:pStyle w:val="Normal"/>
        <w:shd w:val="clear" w:color="auto" w:fill="FFFFFF"/>
        <w:jc w:val="both"/>
        <w:rPr>
          <w:color w:val="0D0D0D"/>
        </w:rPr>
      </w:pPr>
      <w:r>
        <w:rPr>
          <w:b/>
          <w:bCs/>
          <w:color w:val="0D0D0D"/>
        </w:rPr>
        <w:t xml:space="preserve">           </w:t>
      </w:r>
      <w:r>
        <w:rPr>
          <w:b/>
          <w:bCs/>
          <w:color w:val="0D0D0D"/>
        </w:rPr>
        <w:t>Індивідуальний договір та вищезазначені Правила на вимогу Закону України «Про житлово-комунальні послуги» передбачають, що послуги, включені до такого договору, – платні.  І цією платою для водоканалів України визначили плату за абонентське обслуговування.</w:t>
      </w:r>
    </w:p>
    <w:p>
      <w:pPr>
        <w:pStyle w:val="Normal"/>
        <w:shd w:val="clear" w:color="auto" w:fill="FFFFFF"/>
        <w:jc w:val="both"/>
        <w:rPr>
          <w:color w:val="0D0D0D"/>
        </w:rPr>
      </w:pPr>
      <w:r>
        <w:rPr>
          <w:color w:val="0D0D0D"/>
        </w:rPr>
        <w:t>Вона включатиме, зокрема:</w:t>
      </w:r>
    </w:p>
    <w:p>
      <w:pPr>
        <w:pStyle w:val="Normal"/>
        <w:numPr>
          <w:ilvl w:val="0"/>
          <w:numId w:val="3"/>
        </w:numPr>
        <w:shd w:val="clear" w:color="auto" w:fill="FFFFFF"/>
        <w:ind w:left="0" w:hanging="360"/>
        <w:jc w:val="both"/>
        <w:rPr>
          <w:color w:val="0D0D0D"/>
        </w:rPr>
      </w:pPr>
      <w:r>
        <w:rPr>
          <w:color w:val="0D0D0D"/>
        </w:rPr>
        <w:t>державну повірку квартирних лічильників  раз на 4 роки;</w:t>
      </w:r>
    </w:p>
    <w:p>
      <w:pPr>
        <w:pStyle w:val="Normal"/>
        <w:numPr>
          <w:ilvl w:val="0"/>
          <w:numId w:val="3"/>
        </w:numPr>
        <w:shd w:val="clear" w:color="auto" w:fill="FFFFFF"/>
        <w:ind w:left="0" w:hanging="360"/>
        <w:jc w:val="both"/>
        <w:rPr>
          <w:color w:val="0D0D0D"/>
        </w:rPr>
      </w:pPr>
      <w:r>
        <w:rPr>
          <w:color w:val="0D0D0D"/>
        </w:rPr>
        <w:t>друк та доставку квитанцій;</w:t>
      </w:r>
    </w:p>
    <w:p>
      <w:pPr>
        <w:pStyle w:val="Normal"/>
        <w:numPr>
          <w:ilvl w:val="0"/>
          <w:numId w:val="3"/>
        </w:numPr>
        <w:shd w:val="clear" w:color="auto" w:fill="FFFFFF"/>
        <w:spacing w:before="0" w:after="0"/>
        <w:ind w:left="0" w:hanging="360"/>
        <w:jc w:val="both"/>
        <w:rPr>
          <w:color w:val="0D0D0D"/>
        </w:rPr>
      </w:pPr>
      <w:r>
        <w:rPr>
          <w:color w:val="0D0D0D"/>
        </w:rPr>
        <w:t>абонентський супровід;</w:t>
      </w:r>
    </w:p>
    <w:p>
      <w:pPr>
        <w:pStyle w:val="Normal"/>
        <w:numPr>
          <w:ilvl w:val="0"/>
          <w:numId w:val="3"/>
        </w:numPr>
        <w:shd w:val="clear" w:color="auto" w:fill="FFFFFF"/>
        <w:spacing w:before="0" w:afterAutospacing="1"/>
        <w:ind w:left="0" w:hanging="360"/>
        <w:jc w:val="both"/>
        <w:rPr>
          <w:color w:val="0D0D0D"/>
        </w:rPr>
      </w:pPr>
      <w:r>
        <w:rPr>
          <w:color w:val="0D0D0D"/>
        </w:rPr>
        <w:t>звірку даних, виготовлення довідок на продаж  (відчуження)  майна.</w:t>
      </w:r>
    </w:p>
    <w:p>
      <w:pPr>
        <w:pStyle w:val="Normal"/>
        <w:shd w:val="clear" w:color="auto" w:fill="FFFFFF"/>
        <w:jc w:val="both"/>
        <w:rPr>
          <w:b/>
          <w:b/>
          <w:bCs/>
          <w:color w:val="0D0D0D"/>
        </w:rPr>
      </w:pPr>
      <w:r>
        <w:rPr>
          <w:b/>
          <w:bCs/>
          <w:color w:val="0D0D0D"/>
        </w:rPr>
        <w:t xml:space="preserve">       </w:t>
      </w:r>
    </w:p>
    <w:p>
      <w:pPr>
        <w:pStyle w:val="Normal"/>
        <w:shd w:val="clear" w:color="auto" w:fill="FFFFFF"/>
        <w:jc w:val="both"/>
        <w:rPr>
          <w:color w:val="0D0D0D"/>
        </w:rPr>
      </w:pPr>
      <w:r>
        <w:rPr>
          <w:b/>
          <w:bCs/>
          <w:color w:val="0D0D0D"/>
        </w:rPr>
        <w:t xml:space="preserve">       </w:t>
      </w:r>
      <w:r>
        <w:rPr>
          <w:b/>
          <w:bCs/>
          <w:color w:val="0D0D0D"/>
        </w:rPr>
        <w:t>Кабінет Міністрів України встановив граничний розмір плати за абонентське обслуговування (абонплати) – вона не може перевищувати 28,47 грн.  </w:t>
      </w:r>
      <w:r>
        <w:rPr>
          <w:color w:val="0D0D0D"/>
        </w:rPr>
        <w:t>Розмір абонентської плати буде залежати від кількості встановлених у квартирі лічильників.</w:t>
      </w:r>
    </w:p>
    <w:p>
      <w:pPr>
        <w:pStyle w:val="Normal"/>
        <w:shd w:val="clear" w:color="auto" w:fill="FFFFFF"/>
        <w:jc w:val="both"/>
        <w:rPr>
          <w:color w:val="0D0D0D"/>
        </w:rPr>
      </w:pPr>
      <w:r>
        <w:rPr>
          <w:color w:val="0D0D0D"/>
        </w:rPr>
        <w:t>Законодавець надав водоканалам право переглядати розмір абонплати в разі подорожчання відповідних матеріалів чи послуг, тому щоразу за 15 днів до перегляду про це повідомлятиметься на офіційному сайті КП "БДВК". Проте в будь-якому разі абонплата вищою за гранично визначену Кабміном не буде.</w:t>
      </w:r>
    </w:p>
    <w:p>
      <w:pPr>
        <w:pStyle w:val="Normal"/>
        <w:shd w:val="clear" w:color="auto" w:fill="FFFFFF"/>
        <w:jc w:val="both"/>
        <w:rPr>
          <w:color w:val="0D0D0D"/>
        </w:rPr>
      </w:pPr>
      <w:r>
        <w:rPr>
          <w:b/>
          <w:bCs/>
          <w:color w:val="0D0D0D"/>
        </w:rPr>
        <w:t xml:space="preserve">        </w:t>
      </w:r>
      <w:r>
        <w:rPr>
          <w:b/>
          <w:bCs/>
          <w:color w:val="0D0D0D"/>
        </w:rPr>
        <w:t>Абонплата сплачується щомісячно</w:t>
      </w:r>
      <w:r>
        <w:rPr>
          <w:color w:val="0D0D0D"/>
        </w:rPr>
        <w:t> – про це буде інформувати додатковий пункт в розрахунковій квитанції. Водопостачання, водовідведення та абонплата заходитиме на один особовий рахунок і тоді водоканал вже самостійно розділятиме ці послуги згідно умов договору.</w:t>
      </w:r>
    </w:p>
    <w:p>
      <w:pPr>
        <w:pStyle w:val="Normal"/>
        <w:shd w:val="clear" w:color="auto" w:fill="FFFFFF"/>
        <w:jc w:val="both"/>
        <w:rPr>
          <w:color w:val="0D0D0D"/>
        </w:rPr>
      </w:pPr>
      <w:r>
        <w:rPr>
          <w:color w:val="0D0D0D"/>
        </w:rPr>
        <w:t xml:space="preserve">        </w:t>
      </w:r>
      <w:r>
        <w:rPr>
          <w:color w:val="0D0D0D"/>
        </w:rPr>
        <w:t>Після укладення індивідуального договору та внесення абонплати за повірку платити раз на чотири роки як це було раніше вже буде не потрібно. Вчасно прийде слюсар, демонтує лічильник, повірить його, змонтує на місце, запломбує і абонентський відділ зробить відповідні перерахунки.</w:t>
      </w:r>
    </w:p>
    <w:p>
      <w:pPr>
        <w:pStyle w:val="Normal"/>
        <w:shd w:val="clear" w:color="auto" w:fill="FFFFFF"/>
        <w:jc w:val="both"/>
        <w:rPr>
          <w:color w:val="0D0D0D"/>
        </w:rPr>
      </w:pPr>
      <w:r>
        <w:rPr>
          <w:i/>
          <w:iCs/>
          <w:color w:val="0B3E6F"/>
        </w:rPr>
        <w:t xml:space="preserve">        </w:t>
      </w:r>
      <w:r>
        <w:rPr>
          <w:i/>
          <w:iCs/>
          <w:color w:val="0B3E6F"/>
        </w:rPr>
        <w:t>На абонплату надається державна субсидія. КП "БДКВ" буде інформаувати управління соціального захисту  щодо укладених договорів та розміру абонплати. Але її несплата може призвести до виникнення заборгованості з подальшою втратою субсидії.</w:t>
      </w:r>
    </w:p>
    <w:p>
      <w:pPr>
        <w:pStyle w:val="Normal"/>
        <w:shd w:val="clear" w:color="auto" w:fill="FFFFFF"/>
        <w:jc w:val="both"/>
        <w:rPr>
          <w:color w:val="0D0D0D"/>
        </w:rPr>
      </w:pPr>
      <w:r>
        <w:rPr>
          <w:i/>
          <w:iCs/>
          <w:color w:val="0B3E6F"/>
        </w:rPr>
        <w:t xml:space="preserve">        </w:t>
      </w:r>
      <w:r>
        <w:rPr>
          <w:i/>
          <w:iCs/>
          <w:color w:val="0B3E6F"/>
        </w:rPr>
        <w:t>Для максимальної зручності населення будуть інформувати  об’явами на дошках оголошень під’їздів  та на сайті підприємства про необхідність переукладення договорів окремими будинками.</w:t>
      </w:r>
    </w:p>
    <w:p>
      <w:pPr>
        <w:pStyle w:val="Normal"/>
        <w:shd w:val="clear" w:color="auto" w:fill="FFFFFF"/>
        <w:spacing w:before="300" w:after="300"/>
        <w:jc w:val="both"/>
        <w:rPr>
          <w:b/>
          <w:b/>
          <w:bCs/>
          <w:color w:val="0D0D0D"/>
        </w:rPr>
      </w:pPr>
      <w:r>
        <w:rPr>
          <w:color w:val="0D0D0D"/>
        </w:rPr>
        <w:t>Індивідуальний договір без утримання внутрішньобудинкових мереж є договором за замовчуванням. У разі, якщо споживач не визначиться до 1 травня 2020 року самостійно, то такий вид договору буде вважатися укладеним </w:t>
      </w:r>
      <w:r>
        <w:rPr>
          <w:b/>
          <w:bCs/>
          <w:color w:val="0D0D0D"/>
        </w:rPr>
        <w:t>автоматично.</w:t>
      </w:r>
    </w:p>
    <w:p>
      <w:pPr>
        <w:pStyle w:val="Normal"/>
        <w:shd w:val="clear" w:color="auto" w:fill="FFFFFF"/>
        <w:spacing w:before="300" w:after="300"/>
        <w:jc w:val="center"/>
        <w:rPr>
          <w:color w:val="0D0D0D"/>
        </w:rPr>
      </w:pPr>
      <w:r>
        <w:rPr>
          <w:b/>
          <w:bCs/>
          <w:color w:val="0D0D0D"/>
        </w:rPr>
        <w:t>Структура тарифу на абонплату  наведена в таблиці:</w:t>
      </w:r>
    </w:p>
    <w:tbl>
      <w:tblPr>
        <w:tblW w:w="9749" w:type="dxa"/>
        <w:jc w:val="left"/>
        <w:tblInd w:w="0" w:type="dxa"/>
        <w:tblBorders>
          <w:top w:val="single" w:sz="6" w:space="0" w:color="000000"/>
          <w:left w:val="single" w:sz="6" w:space="0" w:color="000000"/>
          <w:right w:val="single" w:sz="6" w:space="0" w:color="000000"/>
          <w:insideV w:val="single" w:sz="6" w:space="0" w:color="000000"/>
        </w:tblBorders>
        <w:tblCellMar>
          <w:top w:w="0" w:type="dxa"/>
          <w:left w:w="22" w:type="dxa"/>
          <w:bottom w:w="0" w:type="dxa"/>
          <w:right w:w="30" w:type="dxa"/>
        </w:tblCellMar>
        <w:tblLook w:val="0000"/>
      </w:tblPr>
      <w:tblGrid>
        <w:gridCol w:w="467"/>
        <w:gridCol w:w="4691"/>
        <w:gridCol w:w="1015"/>
        <w:gridCol w:w="1223"/>
        <w:gridCol w:w="1"/>
        <w:gridCol w:w="1158"/>
        <w:gridCol w:w="1"/>
        <w:gridCol w:w="1192"/>
      </w:tblGrid>
      <w:tr>
        <w:trPr>
          <w:trHeight w:val="290" w:hRule="atLeast"/>
        </w:trPr>
        <w:tc>
          <w:tcPr>
            <w:tcW w:w="467" w:type="dxa"/>
            <w:tcBorders>
              <w:top w:val="single" w:sz="6" w:space="0" w:color="000000"/>
              <w:left w:val="single" w:sz="6" w:space="0" w:color="000000"/>
              <w:right w:val="single" w:sz="6" w:space="0" w:color="000000"/>
              <w:insideV w:val="single" w:sz="6" w:space="0" w:color="000000"/>
            </w:tcBorders>
            <w:shd w:color="99CCFF" w:fill="auto" w:val="solid"/>
          </w:tcPr>
          <w:p>
            <w:pPr>
              <w:pStyle w:val="Normal"/>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з/п</w:t>
            </w:r>
          </w:p>
        </w:tc>
        <w:tc>
          <w:tcPr>
            <w:tcW w:w="4691" w:type="dxa"/>
            <w:tcBorders>
              <w:top w:val="single" w:sz="6" w:space="0" w:color="000000"/>
              <w:left w:val="single" w:sz="6" w:space="0" w:color="000000"/>
              <w:right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t xml:space="preserve">Складові витрат на збут </w:t>
            </w:r>
          </w:p>
        </w:tc>
        <w:tc>
          <w:tcPr>
            <w:tcW w:w="3397" w:type="dxa"/>
            <w:gridSpan w:val="4"/>
            <w:tcBorders>
              <w:top w:val="single" w:sz="6" w:space="0" w:color="000000"/>
              <w:left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Розрахунок на місяц</w:t>
            </w:r>
          </w:p>
        </w:tc>
        <w:tc>
          <w:tcPr>
            <w:tcW w:w="1193" w:type="dxa"/>
            <w:gridSpan w:val="2"/>
            <w:tcBorders>
              <w:top w:val="single" w:sz="6" w:space="0" w:color="000000"/>
              <w:right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r>
      <w:tr>
        <w:trPr>
          <w:trHeight w:val="70" w:hRule="atLeast"/>
        </w:trPr>
        <w:tc>
          <w:tcPr>
            <w:tcW w:w="467" w:type="dxa"/>
            <w:tcBorders>
              <w:left w:val="single" w:sz="6" w:space="0" w:color="000000"/>
              <w:right w:val="single" w:sz="6" w:space="0" w:color="000000"/>
              <w:insideV w:val="single" w:sz="6" w:space="0" w:color="000000"/>
            </w:tcBorders>
            <w:shd w:color="99CC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4691" w:type="dxa"/>
            <w:tcBorders>
              <w:left w:val="single" w:sz="6" w:space="0" w:color="000000"/>
              <w:right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015" w:type="dxa"/>
            <w:tcBorders>
              <w:left w:val="single" w:sz="6" w:space="0" w:color="000000"/>
              <w:bottom w:val="single" w:sz="6" w:space="0" w:color="000000"/>
              <w:insideH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224" w:type="dxa"/>
            <w:gridSpan w:val="2"/>
            <w:tcBorders>
              <w:bottom w:val="single" w:sz="6" w:space="0" w:color="000000"/>
              <w:insideH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159" w:type="dxa"/>
            <w:gridSpan w:val="2"/>
            <w:tcBorders>
              <w:bottom w:val="single" w:sz="6" w:space="0" w:color="000000"/>
              <w:insideH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192" w:type="dxa"/>
            <w:tcBorders>
              <w:bottom w:val="single" w:sz="6" w:space="0" w:color="000000"/>
              <w:right w:val="single" w:sz="6" w:space="0" w:color="000000"/>
              <w:insideH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r>
      <w:tr>
        <w:trPr>
          <w:trHeight w:val="1058" w:hRule="atLeast"/>
        </w:trPr>
        <w:tc>
          <w:tcPr>
            <w:tcW w:w="467" w:type="dxa"/>
            <w:tcBorders>
              <w:left w:val="single" w:sz="6" w:space="0" w:color="000000"/>
              <w:bottom w:val="single" w:sz="6" w:space="0" w:color="000000"/>
              <w:right w:val="single" w:sz="6" w:space="0" w:color="000000"/>
              <w:insideH w:val="single" w:sz="6" w:space="0" w:color="000000"/>
              <w:insideV w:val="single" w:sz="6" w:space="0" w:color="000000"/>
            </w:tcBorders>
            <w:shd w:color="99CC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4691" w:type="dxa"/>
            <w:tcBorders>
              <w:left w:val="single" w:sz="6" w:space="0" w:color="000000"/>
              <w:bottom w:val="single" w:sz="6" w:space="0" w:color="000000"/>
              <w:right w:val="single" w:sz="6" w:space="0" w:color="000000"/>
              <w:insideH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t xml:space="preserve">Усього витрат на рік тис.грн </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t xml:space="preserve">Для споживачів без приладів обліку </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t>З 1-м приладом обліку</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99CCFF" w:fill="auto" w:val="solid"/>
          </w:tcPr>
          <w:p>
            <w:pPr>
              <w:pStyle w:val="Normal"/>
              <w:jc w:val="center"/>
              <w:rPr>
                <w:rFonts w:eastAsia="Calibri"/>
                <w:color w:val="000000"/>
                <w:sz w:val="20"/>
                <w:szCs w:val="20"/>
                <w:lang w:val="ru-RU"/>
              </w:rPr>
            </w:pPr>
            <w:r>
              <w:rPr>
                <w:rFonts w:eastAsia="Calibri"/>
                <w:color w:val="000000"/>
                <w:sz w:val="20"/>
                <w:szCs w:val="20"/>
                <w:lang w:val="ru-RU"/>
              </w:rPr>
              <w:t>З 2-ма приладами обліку</w:t>
            </w:r>
          </w:p>
        </w:tc>
      </w:tr>
      <w:tr>
        <w:trPr>
          <w:trHeight w:val="290"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color w:val="000000"/>
                <w:sz w:val="20"/>
                <w:szCs w:val="20"/>
                <w:lang w:val="ru-RU"/>
              </w:rPr>
            </w:pPr>
            <w:r>
              <w:rPr>
                <w:rFonts w:eastAsia="Calibri"/>
                <w:color w:val="000000"/>
                <w:sz w:val="20"/>
                <w:szCs w:val="20"/>
                <w:lang w:val="ru-RU"/>
              </w:rPr>
              <w:t>А</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color w:val="000000"/>
                <w:sz w:val="20"/>
                <w:szCs w:val="20"/>
                <w:lang w:val="ru-RU"/>
              </w:rPr>
            </w:pPr>
            <w:r>
              <w:rPr>
                <w:rFonts w:eastAsia="Calibri"/>
                <w:color w:val="000000"/>
                <w:sz w:val="20"/>
                <w:szCs w:val="20"/>
                <w:lang w:val="ru-RU"/>
              </w:rPr>
              <w:t>Б</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color w:val="000000"/>
                <w:sz w:val="20"/>
                <w:szCs w:val="20"/>
                <w:lang w:val="ru-RU"/>
              </w:rPr>
            </w:pPr>
            <w:r>
              <w:rPr>
                <w:rFonts w:eastAsia="Calibri"/>
                <w:color w:val="000000"/>
                <w:sz w:val="20"/>
                <w:szCs w:val="20"/>
                <w:lang w:val="ru-RU"/>
              </w:rPr>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color w:val="000000"/>
                <w:sz w:val="20"/>
                <w:szCs w:val="20"/>
                <w:lang w:val="ru-RU"/>
              </w:rPr>
            </w:pPr>
            <w:r>
              <w:rPr>
                <w:rFonts w:eastAsia="Calibri"/>
                <w:color w:val="000000"/>
                <w:sz w:val="20"/>
                <w:szCs w:val="20"/>
                <w:lang w:val="ru-RU"/>
              </w:rPr>
            </w:r>
          </w:p>
        </w:tc>
      </w:tr>
      <w:tr>
        <w:trPr>
          <w:trHeight w:val="31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Витрати  на абонплату, усього (без ПДВ)</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b/>
                <w:b/>
                <w:bCs/>
                <w:color w:val="000000"/>
                <w:sz w:val="20"/>
                <w:szCs w:val="20"/>
                <w:lang w:val="ru-RU"/>
              </w:rPr>
            </w:pPr>
            <w:r>
              <w:rPr>
                <w:rFonts w:eastAsia="Calibri"/>
                <w:b/>
                <w:bCs/>
                <w:color w:val="000000"/>
                <w:sz w:val="20"/>
                <w:szCs w:val="20"/>
                <w:lang w:val="ru-RU"/>
              </w:rPr>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center"/>
              <w:rPr>
                <w:rFonts w:eastAsia="Calibri"/>
                <w:b/>
                <w:b/>
                <w:bCs/>
                <w:color w:val="000000"/>
                <w:sz w:val="20"/>
                <w:szCs w:val="20"/>
                <w:lang w:val="ru-RU"/>
              </w:rPr>
            </w:pPr>
            <w:r>
              <w:rPr>
                <w:rFonts w:eastAsia="Calibri"/>
                <w:b/>
                <w:bCs/>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r>
          </w:p>
        </w:tc>
      </w:tr>
      <w:tr>
        <w:trPr>
          <w:trHeight w:val="754"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1</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18"/>
                <w:szCs w:val="18"/>
                <w:lang w:val="ru-RU"/>
              </w:rPr>
            </w:pPr>
            <w:r>
              <w:rPr>
                <w:rFonts w:eastAsia="Calibri"/>
                <w:color w:val="000000"/>
                <w:sz w:val="18"/>
                <w:szCs w:val="18"/>
                <w:lang w:val="ru-RU"/>
              </w:rPr>
              <w:t xml:space="preserve">Витрати на оплату праці персоналу (12,5 одиниць.), що безпосередньо здійснює збут послуг з централізованого водопостачання та водовідведення споживачам </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1 233,7</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8,79</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8,79</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8,79</w:t>
            </w:r>
          </w:p>
        </w:tc>
      </w:tr>
      <w:tr>
        <w:trPr>
          <w:trHeight w:val="521"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18"/>
                <w:szCs w:val="18"/>
                <w:lang w:val="ru-RU"/>
              </w:rPr>
            </w:pPr>
            <w:r>
              <w:rPr>
                <w:rFonts w:eastAsia="Calibri"/>
                <w:color w:val="000000"/>
                <w:sz w:val="18"/>
                <w:szCs w:val="18"/>
                <w:lang w:val="ru-RU"/>
              </w:rPr>
              <w:t>Єдиний внесок на загальнообов'язкове державне соціальне страхування працівників</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271,4</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2,11</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2,11</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2,11</w:t>
            </w:r>
          </w:p>
        </w:tc>
      </w:tr>
      <w:tr>
        <w:trPr>
          <w:trHeight w:val="754"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3</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18"/>
                <w:szCs w:val="18"/>
                <w:lang w:val="ru-RU"/>
              </w:rPr>
            </w:pPr>
            <w:r>
              <w:rPr>
                <w:rFonts w:eastAsia="Calibri"/>
                <w:color w:val="000000"/>
                <w:sz w:val="18"/>
                <w:szCs w:val="18"/>
                <w:lang w:val="ru-RU"/>
              </w:rPr>
              <w:t>Витрати на оплату інформаційних послуг, безпосередньо пов'язаних із збутом послуг з централізованого водопостачання та водовідведення</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42,9</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3,7</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3,7</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3,7</w:t>
            </w:r>
          </w:p>
        </w:tc>
      </w:tr>
      <w:tr>
        <w:trPr>
          <w:trHeight w:val="73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4</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18"/>
                <w:szCs w:val="18"/>
                <w:lang w:val="ru-RU"/>
              </w:rPr>
            </w:pPr>
            <w:r>
              <w:rPr>
                <w:rFonts w:eastAsia="Calibri"/>
                <w:color w:val="000000"/>
                <w:sz w:val="18"/>
                <w:szCs w:val="18"/>
                <w:lang w:val="ru-RU"/>
              </w:rPr>
              <w:t>Витрати на друк квитанцій на рік (ФОП Уланов А.Ю.) Накладна № 576 від 10.02.2020 р. Вартість обнієї квитанції 0,31 (грн/без ПДВ) 0,31*11700 абонентів*12 місяців</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43,5</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0,31   </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0,31   </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0,31   </w:t>
            </w:r>
          </w:p>
        </w:tc>
      </w:tr>
      <w:tr>
        <w:trPr>
          <w:trHeight w:val="754"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5</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18"/>
                <w:szCs w:val="18"/>
                <w:lang w:val="ru-RU"/>
              </w:rPr>
            </w:pPr>
            <w:r>
              <w:rPr>
                <w:rFonts w:eastAsia="Calibri"/>
                <w:color w:val="000000"/>
                <w:sz w:val="18"/>
                <w:szCs w:val="18"/>
                <w:lang w:val="ru-RU"/>
              </w:rPr>
              <w:t xml:space="preserve">Витрати на канцелярські товари і виготовлення розрахункових документів про оплату послуг з централізованого водопостачання та водовідведення </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8,8</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0,75   </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0,75   </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0,75   </w:t>
            </w:r>
          </w:p>
        </w:tc>
      </w:tr>
      <w:tr>
        <w:trPr>
          <w:trHeight w:val="31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6</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Інші витрати збуту, в т.ч:</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32,3</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0,23</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0,23</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0,23   </w:t>
            </w:r>
          </w:p>
        </w:tc>
      </w:tr>
      <w:tr>
        <w:trPr>
          <w:trHeight w:val="27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6.1.</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ПММ</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28,8</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0,21</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0,2</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0,2</w:t>
            </w:r>
          </w:p>
        </w:tc>
      </w:tr>
      <w:tr>
        <w:trPr>
          <w:trHeight w:val="31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6.2.</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Заправка картриджів</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0,40   </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0,003</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0,003</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0,003</w:t>
            </w:r>
          </w:p>
        </w:tc>
      </w:tr>
      <w:tr>
        <w:trPr>
          <w:trHeight w:val="290"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6.3.</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Інші (зв'язок, поштові, тощо)</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3,1</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0,02</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0,02</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0,02</w:t>
            </w:r>
          </w:p>
        </w:tc>
      </w:tr>
      <w:tr>
        <w:trPr>
          <w:trHeight w:val="73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7.</w:t>
            </w:r>
          </w:p>
        </w:tc>
        <w:tc>
          <w:tcPr>
            <w:tcW w:w="9281" w:type="dxa"/>
            <w:gridSpan w:val="7"/>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Витрати на проведення планових періодичних повірок квартирних засобів обліку (раз на 3-4 роки) при плановому об'єму на рік 3323лічільника</w:t>
            </w:r>
          </w:p>
        </w:tc>
      </w:tr>
      <w:tr>
        <w:trPr>
          <w:trHeight w:val="305"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7.1.</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Матеріальні витрати</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210,9</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70,3</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140,6   </w:t>
            </w:r>
          </w:p>
        </w:tc>
      </w:tr>
      <w:tr>
        <w:trPr>
          <w:trHeight w:val="305"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7.2.</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Оплата праці слюсаря з обслуговування лічильників</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361,5</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120,5</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241,0   </w:t>
            </w:r>
          </w:p>
        </w:tc>
      </w:tr>
      <w:tr>
        <w:trPr>
          <w:trHeight w:val="31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7.3.</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Відрахування на соціалні заходи (22%)</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79,5</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26,5</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53,0   </w:t>
            </w:r>
          </w:p>
        </w:tc>
      </w:tr>
      <w:tr>
        <w:trPr>
          <w:trHeight w:val="305"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7.4.</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Амортизація</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1,2</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0,4</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0,8   </w:t>
            </w:r>
          </w:p>
        </w:tc>
      </w:tr>
      <w:tr>
        <w:trPr>
          <w:trHeight w:val="290"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7.5.</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Інші (повірка установки проливної)</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15,6</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5,2</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10,4   </w:t>
            </w:r>
          </w:p>
        </w:tc>
      </w:tr>
      <w:tr>
        <w:trPr>
          <w:trHeight w:val="305"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7.6.</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Накладні витрати</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130,5</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43,5</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87,0   </w:t>
            </w:r>
          </w:p>
        </w:tc>
      </w:tr>
      <w:tr>
        <w:trPr>
          <w:trHeight w:val="305"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7.7.</w:t>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Держповірка лічильника діам. 15 мм 22,32*3323 шт.</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222,6</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74,2</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148,4   </w:t>
            </w:r>
          </w:p>
        </w:tc>
      </w:tr>
      <w:tr>
        <w:trPr>
          <w:trHeight w:val="290"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Разом:</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1 021,5</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340,5</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681,0   </w:t>
            </w:r>
          </w:p>
        </w:tc>
      </w:tr>
      <w:tr>
        <w:trPr>
          <w:trHeight w:val="27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color w:val="000000"/>
                <w:sz w:val="20"/>
                <w:szCs w:val="20"/>
                <w:lang w:val="ru-RU"/>
              </w:rPr>
            </w:pPr>
            <w:r>
              <w:rPr>
                <w:rFonts w:eastAsia="Calibri"/>
                <w:color w:val="000000"/>
                <w:sz w:val="20"/>
                <w:szCs w:val="20"/>
                <w:lang w:val="ru-RU"/>
              </w:rPr>
              <w:t>Рентабельність (15%)</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153,3</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51,1</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t xml:space="preserve">           </w:t>
            </w:r>
            <w:r>
              <w:rPr>
                <w:rFonts w:eastAsia="Calibri"/>
                <w:color w:val="000000"/>
                <w:sz w:val="20"/>
                <w:szCs w:val="20"/>
                <w:lang w:val="ru-RU"/>
              </w:rPr>
              <w:t xml:space="preserve">102,2   </w:t>
            </w:r>
          </w:p>
        </w:tc>
      </w:tr>
      <w:tr>
        <w:trPr>
          <w:trHeight w:val="27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Всього: (тис.грн)</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1 174,8</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391,6</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783,2   </w:t>
            </w:r>
          </w:p>
        </w:tc>
      </w:tr>
      <w:tr>
        <w:trPr>
          <w:trHeight w:val="56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6929" w:type="dxa"/>
            <w:gridSpan w:val="3"/>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Вартість технічного обслуговування та повірки  водолічильника грн (без ПДВ)</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117,8</w:t>
            </w:r>
          </w:p>
        </w:tc>
        <w:tc>
          <w:tcPr>
            <w:tcW w:w="1193"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235,7   </w:t>
            </w:r>
          </w:p>
        </w:tc>
      </w:tr>
      <w:tr>
        <w:trPr>
          <w:trHeight w:val="56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6929" w:type="dxa"/>
            <w:gridSpan w:val="3"/>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Вартість технічного обслуговування та повірки  водолічильника  на місяць грн (без ПДВ)</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2,46</w:t>
            </w:r>
          </w:p>
        </w:tc>
        <w:tc>
          <w:tcPr>
            <w:tcW w:w="1193"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4,9   </w:t>
            </w:r>
          </w:p>
        </w:tc>
      </w:tr>
      <w:tr>
        <w:trPr>
          <w:trHeight w:val="50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color w:val="000000"/>
                <w:sz w:val="20"/>
                <w:szCs w:val="20"/>
                <w:lang w:val="ru-RU"/>
              </w:rPr>
            </w:pPr>
            <w:r>
              <w:rPr>
                <w:rFonts w:eastAsia="Calibri"/>
                <w:color w:val="000000"/>
                <w:sz w:val="20"/>
                <w:szCs w:val="20"/>
                <w:lang w:val="ru-RU"/>
              </w:rPr>
            </w:r>
          </w:p>
        </w:tc>
        <w:tc>
          <w:tcPr>
            <w:tcW w:w="5706"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Абонентське обслуговування розраховане  на 11700 абонентів (грн/ місяць без ПДВ)</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15,86   </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18,36   </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20,80   </w:t>
            </w:r>
          </w:p>
        </w:tc>
      </w:tr>
      <w:tr>
        <w:trPr>
          <w:trHeight w:val="566"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9</w:t>
            </w:r>
          </w:p>
        </w:tc>
        <w:tc>
          <w:tcPr>
            <w:tcW w:w="5706"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Абонплата на одного абонента за індивідуальним договором  (грн. з ПДВ)</w:t>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19,03   </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22,03   </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 xml:space="preserve">         </w:t>
            </w:r>
            <w:r>
              <w:rPr>
                <w:rFonts w:eastAsia="Calibri"/>
                <w:b/>
                <w:bCs/>
                <w:color w:val="000000"/>
                <w:sz w:val="20"/>
                <w:szCs w:val="20"/>
                <w:lang w:val="ru-RU"/>
              </w:rPr>
              <w:t xml:space="preserve">24,96   </w:t>
            </w:r>
          </w:p>
        </w:tc>
      </w:tr>
      <w:tr>
        <w:trPr>
          <w:trHeight w:val="319" w:hRule="atLeast"/>
        </w:trPr>
        <w:tc>
          <w:tcPr>
            <w:tcW w:w="46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r>
          </w:p>
        </w:tc>
        <w:tc>
          <w:tcPr>
            <w:tcW w:w="46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rPr>
                <w:rFonts w:eastAsia="Calibri"/>
                <w:b/>
                <w:b/>
                <w:bCs/>
                <w:color w:val="000000"/>
                <w:sz w:val="20"/>
                <w:szCs w:val="20"/>
                <w:lang w:val="ru-RU"/>
              </w:rPr>
            </w:pPr>
            <w:r>
              <w:rPr>
                <w:rFonts w:eastAsia="Calibri"/>
                <w:b/>
                <w:bCs/>
                <w:color w:val="000000"/>
                <w:sz w:val="20"/>
                <w:szCs w:val="20"/>
                <w:lang w:val="ru-RU"/>
              </w:rPr>
              <w:t xml:space="preserve">Кількість абонентів </w:t>
            </w:r>
          </w:p>
        </w:tc>
        <w:tc>
          <w:tcPr>
            <w:tcW w:w="101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r>
          </w:p>
        </w:tc>
        <w:tc>
          <w:tcPr>
            <w:tcW w:w="1224"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572</w:t>
            </w:r>
          </w:p>
        </w:tc>
        <w:tc>
          <w:tcPr>
            <w:tcW w:w="11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8966</w:t>
            </w:r>
          </w:p>
        </w:tc>
        <w:tc>
          <w:tcPr>
            <w:tcW w:w="119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FFFFFF" w:fill="auto" w:val="solid"/>
          </w:tcPr>
          <w:p>
            <w:pPr>
              <w:pStyle w:val="Normal"/>
              <w:jc w:val="right"/>
              <w:rPr>
                <w:rFonts w:eastAsia="Calibri"/>
                <w:b/>
                <w:b/>
                <w:bCs/>
                <w:color w:val="000000"/>
                <w:sz w:val="20"/>
                <w:szCs w:val="20"/>
                <w:lang w:val="ru-RU"/>
              </w:rPr>
            </w:pPr>
            <w:r>
              <w:rPr>
                <w:rFonts w:eastAsia="Calibri"/>
                <w:b/>
                <w:bCs/>
                <w:color w:val="000000"/>
                <w:sz w:val="20"/>
                <w:szCs w:val="20"/>
                <w:lang w:val="ru-RU"/>
              </w:rPr>
              <w:t>2162</w:t>
            </w:r>
          </w:p>
        </w:tc>
      </w:tr>
      <w:tr>
        <w:trPr>
          <w:trHeight w:val="290" w:hRule="atLeast"/>
        </w:trPr>
        <w:tc>
          <w:tcPr>
            <w:tcW w:w="467" w:type="dxa"/>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jc w:val="right"/>
              <w:rPr>
                <w:rFonts w:ascii="Calibri" w:hAnsi="Calibri" w:eastAsia="Calibri" w:cs="Calibri"/>
                <w:color w:val="000000"/>
                <w:sz w:val="22"/>
                <w:szCs w:val="22"/>
                <w:lang w:val="ru-RU"/>
              </w:rPr>
            </w:pPr>
            <w:r>
              <w:rPr>
                <w:rFonts w:eastAsia="Calibri" w:cs="Calibri" w:ascii="Calibri" w:hAnsi="Calibri"/>
                <w:color w:val="000000"/>
                <w:sz w:val="22"/>
                <w:szCs w:val="22"/>
                <w:lang w:val="ru-RU"/>
              </w:rPr>
            </w:r>
          </w:p>
        </w:tc>
        <w:tc>
          <w:tcPr>
            <w:tcW w:w="4691" w:type="dxa"/>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jc w:val="right"/>
              <w:rPr>
                <w:rFonts w:ascii="Calibri" w:hAnsi="Calibri" w:eastAsia="Calibri" w:cs="Calibri"/>
                <w:color w:val="000000"/>
                <w:sz w:val="22"/>
                <w:szCs w:val="22"/>
                <w:lang w:val="ru-RU"/>
              </w:rPr>
            </w:pPr>
            <w:r>
              <w:rPr>
                <w:rFonts w:eastAsia="Calibri" w:cs="Calibri" w:ascii="Calibri" w:hAnsi="Calibri"/>
                <w:color w:val="000000"/>
                <w:sz w:val="22"/>
                <w:szCs w:val="22"/>
                <w:lang w:val="ru-RU"/>
              </w:rPr>
            </w:r>
          </w:p>
        </w:tc>
        <w:tc>
          <w:tcPr>
            <w:tcW w:w="1015" w:type="dxa"/>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jc w:val="right"/>
              <w:rPr>
                <w:rFonts w:ascii="Calibri" w:hAnsi="Calibri" w:eastAsia="Calibri" w:cs="Calibri"/>
                <w:color w:val="000000"/>
                <w:sz w:val="22"/>
                <w:szCs w:val="22"/>
                <w:lang w:val="ru-RU"/>
              </w:rPr>
            </w:pPr>
            <w:r>
              <w:rPr>
                <w:rFonts w:eastAsia="Calibri" w:cs="Calibri" w:ascii="Calibri" w:hAnsi="Calibri"/>
                <w:color w:val="000000"/>
                <w:sz w:val="22"/>
                <w:szCs w:val="22"/>
                <w:lang w:val="ru-RU"/>
              </w:rPr>
            </w:r>
          </w:p>
        </w:tc>
        <w:tc>
          <w:tcPr>
            <w:tcW w:w="1224" w:type="dxa"/>
            <w:gridSpan w:val="2"/>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jc w:val="right"/>
              <w:rPr>
                <w:rFonts w:ascii="Calibri" w:hAnsi="Calibri" w:eastAsia="Calibri" w:cs="Calibri"/>
                <w:color w:val="000000"/>
                <w:sz w:val="22"/>
                <w:szCs w:val="22"/>
                <w:lang w:val="ru-RU"/>
              </w:rPr>
            </w:pPr>
            <w:r>
              <w:rPr>
                <w:rFonts w:eastAsia="Calibri" w:cs="Calibri" w:ascii="Calibri" w:hAnsi="Calibri"/>
                <w:color w:val="000000"/>
                <w:sz w:val="22"/>
                <w:szCs w:val="22"/>
                <w:lang w:val="ru-RU"/>
              </w:rPr>
            </w:r>
          </w:p>
        </w:tc>
        <w:tc>
          <w:tcPr>
            <w:tcW w:w="1159" w:type="dxa"/>
            <w:gridSpan w:val="2"/>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jc w:val="right"/>
              <w:rPr>
                <w:rFonts w:ascii="Calibri" w:hAnsi="Calibri" w:eastAsia="Calibri" w:cs="Calibri"/>
                <w:color w:val="000000"/>
                <w:sz w:val="22"/>
                <w:szCs w:val="22"/>
                <w:lang w:val="ru-RU"/>
              </w:rPr>
            </w:pPr>
            <w:r>
              <w:rPr>
                <w:rFonts w:eastAsia="Calibri" w:cs="Calibri" w:ascii="Calibri" w:hAnsi="Calibri"/>
                <w:color w:val="000000"/>
                <w:sz w:val="22"/>
                <w:szCs w:val="22"/>
                <w:lang w:val="ru-RU"/>
              </w:rPr>
            </w:r>
          </w:p>
        </w:tc>
        <w:tc>
          <w:tcPr>
            <w:tcW w:w="1192" w:type="dxa"/>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jc w:val="right"/>
              <w:rPr>
                <w:rFonts w:ascii="Calibri" w:hAnsi="Calibri" w:eastAsia="Calibri" w:cs="Calibri"/>
                <w:color w:val="000000"/>
                <w:sz w:val="22"/>
                <w:szCs w:val="22"/>
                <w:lang w:val="ru-RU"/>
              </w:rPr>
            </w:pPr>
            <w:r>
              <w:rPr>
                <w:rFonts w:eastAsia="Calibri" w:cs="Calibri" w:ascii="Calibri" w:hAnsi="Calibri"/>
                <w:color w:val="000000"/>
                <w:sz w:val="22"/>
                <w:szCs w:val="22"/>
                <w:lang w:val="ru-RU"/>
              </w:rPr>
            </w:r>
          </w:p>
        </w:tc>
      </w:tr>
    </w:tbl>
    <w:p>
      <w:pPr>
        <w:pStyle w:val="Normal"/>
        <w:jc w:val="center"/>
        <w:rPr>
          <w:b/>
          <w:b/>
          <w:i/>
          <w:i/>
          <w:lang w:val="ru-RU"/>
        </w:rPr>
      </w:pPr>
      <w:r>
        <w:rPr>
          <w:b/>
          <w:i/>
          <w:lang w:val="ru-RU"/>
        </w:rPr>
      </w:r>
    </w:p>
    <w:p>
      <w:pPr>
        <w:pStyle w:val="Normal"/>
        <w:jc w:val="center"/>
        <w:rPr>
          <w:b/>
          <w:b/>
          <w:i/>
          <w:i/>
          <w:sz w:val="20"/>
          <w:szCs w:val="20"/>
          <w:lang w:val="ru-RU"/>
        </w:rPr>
      </w:pPr>
      <w:r>
        <w:rPr>
          <w:b/>
          <w:i/>
          <w:sz w:val="20"/>
          <w:szCs w:val="20"/>
          <w:lang w:val="ru-RU"/>
        </w:rPr>
        <w:t>Калькуляц</w:t>
      </w:r>
      <w:r>
        <w:rPr>
          <w:b/>
          <w:i/>
          <w:sz w:val="20"/>
          <w:szCs w:val="20"/>
        </w:rPr>
        <w:t>і</w:t>
      </w:r>
      <w:r>
        <w:rPr>
          <w:b/>
          <w:i/>
          <w:sz w:val="20"/>
          <w:szCs w:val="20"/>
          <w:lang w:val="ru-RU"/>
        </w:rPr>
        <w:t>я витрат по КП «Білгород-Дністровськводоканал»</w:t>
      </w:r>
    </w:p>
    <w:p>
      <w:pPr>
        <w:pStyle w:val="Normal"/>
        <w:jc w:val="center"/>
        <w:rPr>
          <w:b/>
          <w:b/>
          <w:i/>
          <w:i/>
          <w:sz w:val="20"/>
          <w:szCs w:val="20"/>
        </w:rPr>
      </w:pPr>
      <w:r>
        <w:rPr>
          <w:b/>
          <w:i/>
          <w:sz w:val="20"/>
          <w:szCs w:val="20"/>
          <w:lang w:val="ru-RU"/>
        </w:rPr>
        <w:t xml:space="preserve"> </w:t>
      </w:r>
      <w:r>
        <w:rPr>
          <w:b/>
          <w:i/>
          <w:sz w:val="20"/>
          <w:szCs w:val="20"/>
          <w:lang w:val="ru-RU"/>
        </w:rPr>
        <w:t>на п</w:t>
      </w:r>
      <w:r>
        <w:rPr>
          <w:b/>
          <w:i/>
          <w:sz w:val="20"/>
          <w:szCs w:val="20"/>
        </w:rPr>
        <w:t>ослуги  з технічного обслуговування та повірки</w:t>
      </w:r>
    </w:p>
    <w:p>
      <w:pPr>
        <w:pStyle w:val="Normal"/>
        <w:jc w:val="center"/>
        <w:rPr>
          <w:b/>
          <w:b/>
          <w:i/>
          <w:i/>
          <w:sz w:val="20"/>
          <w:szCs w:val="20"/>
        </w:rPr>
      </w:pPr>
      <w:r>
        <w:rPr>
          <w:b/>
          <w:i/>
          <w:sz w:val="20"/>
          <w:szCs w:val="20"/>
        </w:rPr>
        <w:t>лічильника діаметром  15 мм (багатоквартирні будинки).</w:t>
      </w:r>
    </w:p>
    <w:p>
      <w:pPr>
        <w:pStyle w:val="Normal"/>
        <w:jc w:val="center"/>
        <w:rPr>
          <w:b/>
          <w:b/>
          <w:i/>
          <w:i/>
          <w:sz w:val="20"/>
          <w:szCs w:val="20"/>
        </w:rPr>
      </w:pPr>
      <w:r>
        <w:rPr>
          <w:b/>
          <w:i/>
          <w:sz w:val="20"/>
          <w:szCs w:val="20"/>
        </w:rPr>
      </w:r>
    </w:p>
    <w:p>
      <w:pPr>
        <w:pStyle w:val="Normal"/>
        <w:jc w:val="both"/>
        <w:rPr/>
      </w:pPr>
      <w:r>
        <w:rPr/>
        <w:t xml:space="preserve">  </w:t>
      </w:r>
      <w:r>
        <w:rPr/>
        <w:t>На обліку рахується 13290</w:t>
      </w:r>
      <w:r>
        <w:rPr>
          <w:lang w:val="ru-RU"/>
        </w:rPr>
        <w:t xml:space="preserve"> </w:t>
      </w:r>
      <w:r>
        <w:rPr/>
        <w:t>лічильників в багатоквартирних будинках, або 62,5% загального обсягу встановленовлених лічильників. Повірочний період 3-4 роки. Повірка на рік 3323 водолічильників. Технічне обслуговування перед повіркою здійснює слюсар. Повірка здійснюється представником ДП «Одесастандартметрологія».</w:t>
      </w:r>
    </w:p>
    <w:p>
      <w:pPr>
        <w:pStyle w:val="Normal"/>
        <w:rPr/>
      </w:pPr>
      <w:r>
        <w:rPr/>
        <w:t xml:space="preserve">                                                                                     </w:t>
      </w:r>
    </w:p>
    <w:p>
      <w:pPr>
        <w:pStyle w:val="Normal"/>
        <w:rPr>
          <w:sz w:val="22"/>
          <w:szCs w:val="22"/>
          <w:lang w:val="ru-RU"/>
        </w:rPr>
      </w:pPr>
      <w:r>
        <w:rPr>
          <w:sz w:val="22"/>
          <w:szCs w:val="22"/>
        </w:rPr>
        <w:t xml:space="preserve">                                                                                         </w:t>
      </w:r>
      <w:r>
        <w:rPr>
          <w:sz w:val="22"/>
          <w:szCs w:val="22"/>
        </w:rPr>
        <w:t xml:space="preserve">грн. в </w:t>
      </w:r>
      <w:r>
        <w:rPr>
          <w:sz w:val="22"/>
          <w:szCs w:val="22"/>
          <w:lang w:val="ru-RU"/>
        </w:rPr>
        <w:t>р</w:t>
      </w:r>
      <w:r>
        <w:rPr>
          <w:sz w:val="22"/>
          <w:szCs w:val="22"/>
        </w:rPr>
        <w:t>і</w:t>
      </w:r>
      <w:r>
        <w:rPr>
          <w:sz w:val="22"/>
          <w:szCs w:val="22"/>
          <w:lang w:val="ru-RU"/>
        </w:rPr>
        <w:t>к</w:t>
      </w:r>
    </w:p>
    <w:p>
      <w:pPr>
        <w:pStyle w:val="ListParagraph"/>
        <w:numPr>
          <w:ilvl w:val="0"/>
          <w:numId w:val="2"/>
        </w:numPr>
        <w:rPr>
          <w:sz w:val="22"/>
          <w:szCs w:val="22"/>
        </w:rPr>
      </w:pPr>
      <w:r>
        <w:rPr>
          <w:sz w:val="22"/>
          <w:szCs w:val="22"/>
        </w:rPr>
        <w:t>Матеріальні витрати, всього, з них                   - 70273</w:t>
      </w:r>
    </w:p>
    <w:p>
      <w:pPr>
        <w:pStyle w:val="Normal"/>
        <w:numPr>
          <w:ilvl w:val="0"/>
          <w:numId w:val="1"/>
        </w:numPr>
        <w:rPr>
          <w:sz w:val="22"/>
          <w:szCs w:val="22"/>
        </w:rPr>
      </w:pPr>
      <w:r>
        <w:rPr>
          <w:sz w:val="22"/>
          <w:szCs w:val="22"/>
        </w:rPr>
        <w:t>електроенергія                                                     - 37541</w:t>
      </w:r>
    </w:p>
    <w:p>
      <w:pPr>
        <w:pStyle w:val="Normal"/>
        <w:numPr>
          <w:ilvl w:val="0"/>
          <w:numId w:val="1"/>
        </w:numPr>
        <w:rPr>
          <w:sz w:val="22"/>
          <w:szCs w:val="22"/>
        </w:rPr>
      </w:pPr>
      <w:r>
        <w:rPr>
          <w:sz w:val="22"/>
          <w:szCs w:val="22"/>
        </w:rPr>
        <w:t>пломби, проволка                                               - 31232</w:t>
      </w:r>
    </w:p>
    <w:p>
      <w:pPr>
        <w:pStyle w:val="Normal"/>
        <w:numPr>
          <w:ilvl w:val="0"/>
          <w:numId w:val="1"/>
        </w:numPr>
        <w:rPr>
          <w:sz w:val="22"/>
          <w:szCs w:val="22"/>
        </w:rPr>
      </w:pPr>
      <w:r>
        <w:rPr>
          <w:sz w:val="22"/>
          <w:szCs w:val="22"/>
        </w:rPr>
        <w:t>інструмент                                                           - 1500</w:t>
      </w:r>
    </w:p>
    <w:p>
      <w:pPr>
        <w:pStyle w:val="Normal"/>
        <w:numPr>
          <w:ilvl w:val="0"/>
          <w:numId w:val="2"/>
        </w:numPr>
        <w:rPr>
          <w:sz w:val="22"/>
          <w:szCs w:val="22"/>
        </w:rPr>
      </w:pPr>
      <w:r>
        <w:rPr>
          <w:sz w:val="22"/>
          <w:szCs w:val="22"/>
        </w:rPr>
        <w:t>Оплата праці всього ( 4р.), в т.ч.                       - 120495</w:t>
      </w:r>
    </w:p>
    <w:p>
      <w:pPr>
        <w:pStyle w:val="Normal"/>
        <w:numPr>
          <w:ilvl w:val="0"/>
          <w:numId w:val="1"/>
        </w:numPr>
        <w:rPr>
          <w:sz w:val="22"/>
          <w:szCs w:val="22"/>
        </w:rPr>
      </w:pPr>
      <w:r>
        <w:rPr>
          <w:sz w:val="22"/>
          <w:szCs w:val="22"/>
        </w:rPr>
        <w:t>(42.96грн*1,15*1,16 х 2002час)*1,045+600грн</w:t>
      </w:r>
    </w:p>
    <w:p>
      <w:pPr>
        <w:pStyle w:val="Normal"/>
        <w:rPr>
          <w:sz w:val="22"/>
          <w:szCs w:val="22"/>
        </w:rPr>
      </w:pPr>
      <w:r>
        <w:rPr>
          <w:sz w:val="22"/>
          <w:szCs w:val="22"/>
          <w:lang w:val="ru-RU"/>
        </w:rPr>
        <w:t xml:space="preserve">      </w:t>
      </w:r>
      <w:r>
        <w:rPr>
          <w:sz w:val="22"/>
          <w:szCs w:val="22"/>
        </w:rPr>
        <w:t>3. Відрахування на соціальні заходи  (22%)         - 26509</w:t>
      </w:r>
    </w:p>
    <w:p>
      <w:pPr>
        <w:pStyle w:val="Normal"/>
        <w:rPr>
          <w:sz w:val="22"/>
          <w:szCs w:val="22"/>
        </w:rPr>
      </w:pPr>
      <w:r>
        <w:rPr>
          <w:sz w:val="22"/>
          <w:szCs w:val="22"/>
        </w:rPr>
        <w:t xml:space="preserve">   </w:t>
      </w:r>
      <w:r>
        <w:rPr>
          <w:sz w:val="22"/>
          <w:szCs w:val="22"/>
          <w:lang w:val="ru-RU"/>
        </w:rPr>
        <w:t xml:space="preserve"> </w:t>
      </w:r>
      <w:r>
        <w:rPr>
          <w:sz w:val="22"/>
          <w:szCs w:val="22"/>
        </w:rPr>
        <w:t xml:space="preserve">  </w:t>
      </w:r>
      <w:r>
        <w:rPr>
          <w:sz w:val="22"/>
          <w:szCs w:val="22"/>
        </w:rPr>
        <w:t>4. Амортизация                           - 405</w:t>
      </w:r>
    </w:p>
    <w:p>
      <w:pPr>
        <w:pStyle w:val="Normal"/>
        <w:rPr>
          <w:sz w:val="22"/>
          <w:szCs w:val="22"/>
        </w:rPr>
      </w:pPr>
      <w:r>
        <w:rPr>
          <w:sz w:val="22"/>
          <w:szCs w:val="22"/>
        </w:rPr>
        <w:t xml:space="preserve">       </w:t>
      </w:r>
      <w:r>
        <w:rPr>
          <w:sz w:val="22"/>
          <w:szCs w:val="22"/>
        </w:rPr>
        <w:t xml:space="preserve">(стэндповерочный  42,68грн + барометр11,38)х 12мес*62,5%)  </w:t>
      </w:r>
    </w:p>
    <w:p>
      <w:pPr>
        <w:pStyle w:val="Normal"/>
        <w:rPr>
          <w:sz w:val="22"/>
          <w:szCs w:val="22"/>
        </w:rPr>
      </w:pPr>
      <w:r>
        <w:rPr>
          <w:sz w:val="22"/>
          <w:szCs w:val="22"/>
        </w:rPr>
        <w:t xml:space="preserve">    </w:t>
      </w:r>
      <w:r>
        <w:rPr>
          <w:sz w:val="22"/>
          <w:szCs w:val="22"/>
          <w:lang w:val="ru-RU"/>
        </w:rPr>
        <w:t xml:space="preserve"> </w:t>
      </w:r>
      <w:r>
        <w:rPr>
          <w:sz w:val="22"/>
          <w:szCs w:val="22"/>
        </w:rPr>
        <w:t xml:space="preserve"> </w:t>
      </w:r>
      <w:r>
        <w:rPr>
          <w:sz w:val="22"/>
          <w:szCs w:val="22"/>
        </w:rPr>
        <w:t>5. Інші витрати (повірка стенда 1 раз в рік 8298.</w:t>
      </w:r>
      <w:r>
        <w:rPr>
          <w:sz w:val="22"/>
          <w:szCs w:val="22"/>
          <w:lang w:val="ru-RU"/>
        </w:rPr>
        <w:t>4</w:t>
      </w:r>
      <w:r>
        <w:rPr>
          <w:sz w:val="22"/>
          <w:szCs w:val="22"/>
        </w:rPr>
        <w:t>*62,5% )    -5187 грн</w:t>
      </w:r>
    </w:p>
    <w:p>
      <w:pPr>
        <w:pStyle w:val="Normal"/>
        <w:rPr>
          <w:sz w:val="22"/>
          <w:szCs w:val="22"/>
        </w:rPr>
      </w:pPr>
      <w:r>
        <w:rPr>
          <w:sz w:val="22"/>
          <w:szCs w:val="22"/>
        </w:rPr>
        <w:t xml:space="preserve">     </w:t>
      </w:r>
      <w:r>
        <w:rPr>
          <w:sz w:val="22"/>
          <w:szCs w:val="22"/>
          <w:lang w:val="ru-RU"/>
        </w:rPr>
        <w:t xml:space="preserve"> </w:t>
      </w:r>
      <w:r>
        <w:rPr>
          <w:sz w:val="22"/>
          <w:szCs w:val="22"/>
        </w:rPr>
        <w:t>6. Накладні витрати (19.5%*222869) -43459</w:t>
      </w:r>
    </w:p>
    <w:p>
      <w:pPr>
        <w:pStyle w:val="Normal"/>
        <w:rPr>
          <w:sz w:val="22"/>
          <w:szCs w:val="22"/>
        </w:rPr>
      </w:pPr>
      <w:r>
        <w:rPr>
          <w:sz w:val="22"/>
          <w:szCs w:val="22"/>
          <w:lang w:val="ru-RU"/>
        </w:rPr>
        <w:t xml:space="preserve">     </w:t>
      </w:r>
      <w:r>
        <w:rPr>
          <w:sz w:val="22"/>
          <w:szCs w:val="22"/>
        </w:rPr>
        <w:t xml:space="preserve"> </w:t>
      </w:r>
      <w:r>
        <w:rPr>
          <w:sz w:val="22"/>
          <w:szCs w:val="22"/>
        </w:rPr>
        <w:t>7. Повірка лічильників (Центр стандартизації)1лічильник.- 22.32 грн</w:t>
      </w:r>
    </w:p>
    <w:p>
      <w:pPr>
        <w:pStyle w:val="Normal"/>
        <w:rPr>
          <w:sz w:val="22"/>
          <w:szCs w:val="22"/>
        </w:rPr>
      </w:pPr>
      <w:r>
        <w:rPr>
          <w:sz w:val="22"/>
          <w:szCs w:val="22"/>
        </w:rPr>
        <w:t xml:space="preserve">          </w:t>
      </w:r>
      <w:r>
        <w:rPr>
          <w:sz w:val="22"/>
          <w:szCs w:val="22"/>
        </w:rPr>
        <w:t>(рахунок від 13.12.19 р. № М</w:t>
      </w:r>
      <w:r>
        <w:rPr>
          <w:sz w:val="22"/>
          <w:szCs w:val="22"/>
          <w:lang w:val="en-US"/>
        </w:rPr>
        <w:t>A</w:t>
      </w:r>
      <w:r>
        <w:rPr>
          <w:sz w:val="22"/>
          <w:szCs w:val="22"/>
        </w:rPr>
        <w:t>-364)</w:t>
      </w:r>
    </w:p>
    <w:p>
      <w:pPr>
        <w:pStyle w:val="Normal"/>
        <w:rPr/>
      </w:pPr>
      <w:r>
        <w:rPr/>
      </w:r>
    </w:p>
    <w:p>
      <w:pPr>
        <w:pStyle w:val="Normal"/>
        <w:rPr>
          <w:b/>
          <w:b/>
        </w:rPr>
      </w:pPr>
      <w:r>
        <w:rPr>
          <w:b/>
        </w:rPr>
        <w:t>Адміністрація КП «Білгород-Дністровськводоканал»</w:t>
      </w:r>
    </w:p>
    <w:p>
      <w:pPr>
        <w:pStyle w:val="Normal"/>
        <w:jc w:val="both"/>
        <w:rPr>
          <w:color w:val="000000"/>
          <w:lang w:val="ru-RU"/>
        </w:rPr>
      </w:pPr>
      <w:r>
        <w:rPr>
          <w:color w:val="000000"/>
          <w:lang w:val="ru-RU"/>
        </w:rPr>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Arial">
    <w:charset w:val="01"/>
    <w:family w:val="roman"/>
    <w:pitch w:val="variable"/>
  </w:font>
  <w:font w:name="Segoe UI">
    <w:charset w:val="01"/>
    <w:family w:val="roman"/>
    <w:pitch w:val="variable"/>
  </w:font>
  <w:font w:name="Liberation Sans">
    <w:altName w:val="Arial"/>
    <w:charset w:val="01"/>
    <w:family w:val="swiss"/>
    <w:pitch w:val="variable"/>
  </w:font>
  <w:font w:name="Times New Roman">
    <w:charset w:val="01"/>
    <w:family w:val="auto"/>
    <w:pitch w:val="default"/>
  </w:font>
  <w:font w:name="Courier New">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tabs>
          <w:tab w:val="num" w:pos="720"/>
        </w:tabs>
        <w:ind w:left="720" w:hanging="360"/>
      </w:pPr>
      <w:rPr>
        <w:rFonts w:ascii="Times New Roman" w:hAnsi="Times New Roman" w:cs="Times New Roman" w:hint="default"/>
        <w:sz w:val="22"/>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0" w:semiHidden="0" w:unhideWhenUsed="0" w:qFormat="1"/>
    <w:lsdException w:name="Default Paragraph Font" w:uiPriority="1"/>
    <w:lsdException w:name="Body Text" w:uiPriority="0"/>
    <w:lsdException w:name="Subtitle" w:uiPriority="11" w:semiHidden="0" w:unhideWhenUsed="0" w:qFormat="1"/>
    <w:lsdException w:name="Block Text" w:uiPriority="0"/>
    <w:lsdException w:name="Strong" w:uiPriority="22" w:semiHidden="0" w:unhideWhenUsed="0" w:qFormat="1"/>
    <w:lsdException w:name="Emphasis" w:uiPriority="20" w:semiHidden="0" w:unhideWhenUsed="0" w:qFormat="1"/>
    <w:lsdException w:name="No List" w:uiPriority="0"/>
    <w:lsdException w:name="Balloon Text" w:uiPriority="0"/>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40cce"/>
    <w:pPr>
      <w:widowControl/>
      <w:bidi w:val="0"/>
      <w:jc w:val="left"/>
    </w:pPr>
    <w:rPr>
      <w:rFonts w:ascii="Times New Roman" w:hAnsi="Times New Roman" w:eastAsia="Times New Roman" w:cs="Times New Roman"/>
      <w:color w:val="auto"/>
      <w:kern w:val="0"/>
      <w:sz w:val="24"/>
      <w:szCs w:val="24"/>
      <w:lang w:val="uk-UA" w:eastAsia="ru-RU" w:bidi="ar-SA"/>
    </w:rPr>
  </w:style>
  <w:style w:type="paragraph" w:styleId="1">
    <w:name w:val="Heading 1"/>
    <w:basedOn w:val="Normal"/>
    <w:link w:val="10"/>
    <w:qFormat/>
    <w:rsid w:val="00640cce"/>
    <w:pPr>
      <w:keepNext w:val="true"/>
      <w:tabs>
        <w:tab w:val="left" w:pos="1260" w:leader="none"/>
      </w:tabs>
      <w:spacing w:before="240" w:after="0"/>
      <w:jc w:val="center"/>
      <w:outlineLvl w:val="0"/>
    </w:pPr>
    <w:rPr>
      <w:rFonts w:ascii="Arial" w:hAnsi="Arial"/>
      <w:b/>
    </w:rPr>
  </w:style>
  <w:style w:type="paragraph" w:styleId="2">
    <w:name w:val="Heading 2"/>
    <w:basedOn w:val="Normal"/>
    <w:link w:val="20"/>
    <w:qFormat/>
    <w:rsid w:val="00622e93"/>
    <w:pPr>
      <w:keepNext w:val="true"/>
      <w:spacing w:before="240" w:after="60"/>
      <w:outlineLvl w:val="1"/>
    </w:pPr>
    <w:rPr>
      <w:rFonts w:ascii="Arial" w:hAnsi="Arial" w:cs="Arial"/>
      <w:b/>
      <w:bCs/>
      <w:i/>
      <w:iCs/>
      <w:sz w:val="28"/>
      <w:szCs w:val="28"/>
    </w:rPr>
  </w:style>
  <w:style w:type="paragraph" w:styleId="3">
    <w:name w:val="Heading 3"/>
    <w:basedOn w:val="Normal"/>
    <w:link w:val="30"/>
    <w:qFormat/>
    <w:rsid w:val="00f31573"/>
    <w:pPr>
      <w:keepNext w:val="true"/>
      <w:spacing w:before="240" w:after="60"/>
      <w:outlineLvl w:val="2"/>
    </w:pPr>
    <w:rPr>
      <w:rFonts w:ascii="Arial" w:hAnsi="Arial"/>
      <w:b/>
      <w:bCs/>
      <w:sz w:val="26"/>
      <w:szCs w:val="26"/>
    </w:rPr>
  </w:style>
  <w:style w:type="paragraph" w:styleId="4">
    <w:name w:val="Heading 4"/>
    <w:basedOn w:val="Normal"/>
    <w:link w:val="40"/>
    <w:qFormat/>
    <w:rsid w:val="00622e93"/>
    <w:pPr>
      <w:keepNext w:val="true"/>
      <w:spacing w:before="240" w:after="60"/>
      <w:outlineLvl w:val="3"/>
    </w:pPr>
    <w:rPr>
      <w:b/>
      <w:bCs/>
      <w:sz w:val="28"/>
      <w:szCs w:val="28"/>
      <w:lang w:val="ru-RU"/>
    </w:rPr>
  </w:style>
  <w:style w:type="paragraph" w:styleId="5">
    <w:name w:val="Heading 5"/>
    <w:basedOn w:val="Normal"/>
    <w:link w:val="50"/>
    <w:qFormat/>
    <w:rsid w:val="00622e93"/>
    <w:pPr>
      <w:spacing w:before="240" w:after="60"/>
      <w:outlineLvl w:val="4"/>
    </w:pPr>
    <w:rPr>
      <w:b/>
      <w:bCs/>
      <w:i/>
      <w:iCs/>
      <w:sz w:val="26"/>
      <w:szCs w:val="26"/>
      <w:lang w:val="ru-RU"/>
    </w:rPr>
  </w:style>
  <w:style w:type="paragraph" w:styleId="6">
    <w:name w:val="Heading 6"/>
    <w:basedOn w:val="Normal"/>
    <w:link w:val="60"/>
    <w:qFormat/>
    <w:rsid w:val="00622e93"/>
    <w:pPr>
      <w:spacing w:before="240" w:after="60"/>
      <w:outlineLvl w:val="5"/>
    </w:pPr>
    <w:rPr>
      <w:b/>
      <w:bCs/>
      <w:sz w:val="22"/>
      <w:szCs w:val="22"/>
      <w:lang w:val="ru-RU"/>
    </w:rPr>
  </w:style>
  <w:style w:type="character" w:styleId="DefaultParagraphFont" w:default="1">
    <w:name w:val="Default Paragraph Font"/>
    <w:uiPriority w:val="1"/>
    <w:semiHidden/>
    <w:unhideWhenUsed/>
    <w:qFormat/>
    <w:rPr/>
  </w:style>
  <w:style w:type="character" w:styleId="11" w:customStyle="1">
    <w:name w:val="Заголовок 1 Знак"/>
    <w:link w:val="1"/>
    <w:qFormat/>
    <w:rsid w:val="00640cce"/>
    <w:rPr>
      <w:rFonts w:ascii="Arial" w:hAnsi="Arial" w:eastAsia="Times New Roman" w:cs="Arial"/>
      <w:b/>
      <w:sz w:val="24"/>
      <w:szCs w:val="24"/>
      <w:lang w:val="uk-UA" w:eastAsia="ru-RU"/>
    </w:rPr>
  </w:style>
  <w:style w:type="character" w:styleId="Style8" w:customStyle="1">
    <w:name w:val="Основной текст Знак"/>
    <w:link w:val="a3"/>
    <w:qFormat/>
    <w:rsid w:val="00640cce"/>
    <w:rPr>
      <w:rFonts w:ascii="Arial" w:hAnsi="Arial" w:eastAsia="Times New Roman" w:cs="Arial"/>
      <w:sz w:val="24"/>
      <w:szCs w:val="24"/>
      <w:lang w:val="uk-UA" w:eastAsia="ru-RU"/>
    </w:rPr>
  </w:style>
  <w:style w:type="character" w:styleId="Style9" w:customStyle="1">
    <w:name w:val="Верхний колонтитул Знак"/>
    <w:link w:val="a5"/>
    <w:qFormat/>
    <w:rsid w:val="00640cce"/>
    <w:rPr>
      <w:rFonts w:ascii="Times New Roman" w:hAnsi="Times New Roman" w:eastAsia="Times New Roman" w:cs="Times New Roman"/>
      <w:sz w:val="24"/>
      <w:szCs w:val="24"/>
      <w:lang w:val="uk-UA" w:eastAsia="ru-RU"/>
    </w:rPr>
  </w:style>
  <w:style w:type="character" w:styleId="31" w:customStyle="1">
    <w:name w:val="Заголовок 3 Знак"/>
    <w:link w:val="3"/>
    <w:qFormat/>
    <w:rsid w:val="00f31573"/>
    <w:rPr>
      <w:rFonts w:ascii="Arial" w:hAnsi="Arial" w:eastAsia="Times New Roman" w:cs="Arial"/>
      <w:b/>
      <w:bCs/>
      <w:sz w:val="26"/>
      <w:szCs w:val="26"/>
      <w:lang w:val="uk-UA" w:eastAsia="ru-RU"/>
    </w:rPr>
  </w:style>
  <w:style w:type="character" w:styleId="Style10" w:customStyle="1">
    <w:name w:val="Название Знак"/>
    <w:link w:val="a8"/>
    <w:qFormat/>
    <w:rsid w:val="00f31573"/>
    <w:rPr>
      <w:rFonts w:ascii="Times New Roman" w:hAnsi="Times New Roman" w:eastAsia="Times New Roman" w:cs="Times New Roman"/>
      <w:sz w:val="32"/>
      <w:szCs w:val="20"/>
      <w:lang w:val="uk-UA" w:eastAsia="ru-RU"/>
    </w:rPr>
  </w:style>
  <w:style w:type="character" w:styleId="Style11" w:customStyle="1">
    <w:name w:val="Текст выноски Знак"/>
    <w:link w:val="ab"/>
    <w:qFormat/>
    <w:rsid w:val="00fe478e"/>
    <w:rPr>
      <w:rFonts w:ascii="Segoe UI" w:hAnsi="Segoe UI" w:eastAsia="Times New Roman" w:cs="Segoe UI"/>
      <w:sz w:val="18"/>
      <w:szCs w:val="18"/>
      <w:lang w:val="uk-UA"/>
    </w:rPr>
  </w:style>
  <w:style w:type="character" w:styleId="21" w:customStyle="1">
    <w:name w:val="Заголовок 2 Знак"/>
    <w:basedOn w:val="DefaultParagraphFont"/>
    <w:link w:val="2"/>
    <w:qFormat/>
    <w:rsid w:val="00622e93"/>
    <w:rPr>
      <w:rFonts w:ascii="Arial" w:hAnsi="Arial" w:eastAsia="Times New Roman" w:cs="Arial"/>
      <w:b/>
      <w:bCs/>
      <w:i/>
      <w:iCs/>
      <w:sz w:val="28"/>
      <w:szCs w:val="28"/>
      <w:lang w:val="uk-UA"/>
    </w:rPr>
  </w:style>
  <w:style w:type="character" w:styleId="41" w:customStyle="1">
    <w:name w:val="Заголовок 4 Знак"/>
    <w:basedOn w:val="DefaultParagraphFont"/>
    <w:link w:val="4"/>
    <w:qFormat/>
    <w:rsid w:val="00622e93"/>
    <w:rPr>
      <w:rFonts w:ascii="Times New Roman" w:hAnsi="Times New Roman" w:eastAsia="Times New Roman"/>
      <w:b/>
      <w:bCs/>
      <w:sz w:val="28"/>
      <w:szCs w:val="28"/>
    </w:rPr>
  </w:style>
  <w:style w:type="character" w:styleId="51" w:customStyle="1">
    <w:name w:val="Заголовок 5 Знак"/>
    <w:basedOn w:val="DefaultParagraphFont"/>
    <w:link w:val="5"/>
    <w:qFormat/>
    <w:rsid w:val="00622e93"/>
    <w:rPr>
      <w:rFonts w:ascii="Times New Roman" w:hAnsi="Times New Roman" w:eastAsia="Times New Roman"/>
      <w:b/>
      <w:bCs/>
      <w:i/>
      <w:iCs/>
      <w:sz w:val="26"/>
      <w:szCs w:val="26"/>
    </w:rPr>
  </w:style>
  <w:style w:type="character" w:styleId="61" w:customStyle="1">
    <w:name w:val="Заголовок 6 Знак"/>
    <w:basedOn w:val="DefaultParagraphFont"/>
    <w:link w:val="6"/>
    <w:qFormat/>
    <w:rsid w:val="00622e93"/>
    <w:rPr>
      <w:rFonts w:ascii="Times New Roman" w:hAnsi="Times New Roman" w:eastAsia="Times New Roman"/>
      <w:b/>
      <w:bCs/>
      <w:sz w:val="22"/>
      <w:szCs w:val="22"/>
    </w:rPr>
  </w:style>
  <w:style w:type="character" w:styleId="ListLabel1">
    <w:name w:val="ListLabel 1"/>
    <w:qFormat/>
    <w:rPr>
      <w:rFonts w:eastAsia="Times New Roman"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Times New Roman" w:cs="Arial"/>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eastAsia="Times New Roman" w:cs="Times New Roman"/>
      <w:sz w:val="22"/>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eastAsia="Times New Roman" w:cs="Times New Roman"/>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eastAsia="Times New Roman" w:cs="Times New Roman"/>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paragraph" w:styleId="Style12">
    <w:name w:val="Заголовок"/>
    <w:basedOn w:val="Normal"/>
    <w:next w:val="Style13"/>
    <w:qFormat/>
    <w:pPr>
      <w:keepNext w:val="true"/>
      <w:spacing w:before="240" w:after="120"/>
    </w:pPr>
    <w:rPr>
      <w:rFonts w:ascii="Liberation Sans" w:hAnsi="Liberation Sans" w:eastAsia="Noto Sans CJK SC" w:cs="Lohit Devanagari"/>
      <w:sz w:val="28"/>
      <w:szCs w:val="28"/>
    </w:rPr>
  </w:style>
  <w:style w:type="paragraph" w:styleId="Style13">
    <w:name w:val="Body Text"/>
    <w:basedOn w:val="Normal"/>
    <w:link w:val="a4"/>
    <w:rsid w:val="00640cce"/>
    <w:pPr>
      <w:jc w:val="both"/>
    </w:pPr>
    <w:rPr>
      <w:rFonts w:ascii="Arial" w:hAnsi="Arial"/>
    </w:rPr>
  </w:style>
  <w:style w:type="paragraph" w:styleId="Style14">
    <w:name w:val="List"/>
    <w:basedOn w:val="Style13"/>
    <w:pPr/>
    <w:rPr>
      <w:rFonts w:cs="Lohit Devanagari"/>
    </w:rPr>
  </w:style>
  <w:style w:type="paragraph" w:styleId="Style15">
    <w:name w:val="Caption"/>
    <w:basedOn w:val="Normal"/>
    <w:qFormat/>
    <w:pPr>
      <w:suppressLineNumbers/>
      <w:spacing w:before="120" w:after="120"/>
    </w:pPr>
    <w:rPr>
      <w:rFonts w:cs="Lohit Devanagari"/>
      <w:i/>
      <w:iCs/>
      <w:sz w:val="24"/>
      <w:szCs w:val="24"/>
    </w:rPr>
  </w:style>
  <w:style w:type="paragraph" w:styleId="Style16">
    <w:name w:val="Указатель"/>
    <w:basedOn w:val="Normal"/>
    <w:qFormat/>
    <w:pPr>
      <w:suppressLineNumbers/>
    </w:pPr>
    <w:rPr>
      <w:rFonts w:cs="Lohit Devanagari"/>
    </w:rPr>
  </w:style>
  <w:style w:type="paragraph" w:styleId="Style17">
    <w:name w:val="Header"/>
    <w:basedOn w:val="Normal"/>
    <w:link w:val="a6"/>
    <w:rsid w:val="00640cce"/>
    <w:pPr>
      <w:tabs>
        <w:tab w:val="center" w:pos="4153" w:leader="none"/>
        <w:tab w:val="right" w:pos="8306" w:leader="none"/>
      </w:tabs>
    </w:pPr>
    <w:rPr/>
  </w:style>
  <w:style w:type="paragraph" w:styleId="Style18">
    <w:name w:val="Title"/>
    <w:basedOn w:val="Normal"/>
    <w:link w:val="a9"/>
    <w:qFormat/>
    <w:rsid w:val="00f31573"/>
    <w:pPr>
      <w:jc w:val="center"/>
    </w:pPr>
    <w:rPr>
      <w:sz w:val="32"/>
      <w:szCs w:val="20"/>
    </w:rPr>
  </w:style>
  <w:style w:type="paragraph" w:styleId="ListParagraph">
    <w:name w:val="List Paragraph"/>
    <w:basedOn w:val="Normal"/>
    <w:uiPriority w:val="34"/>
    <w:qFormat/>
    <w:rsid w:val="00f31573"/>
    <w:pPr>
      <w:spacing w:before="0" w:after="0"/>
      <w:ind w:left="720" w:hanging="0"/>
      <w:contextualSpacing/>
    </w:pPr>
    <w:rPr/>
  </w:style>
  <w:style w:type="paragraph" w:styleId="BalloonText">
    <w:name w:val="Balloon Text"/>
    <w:basedOn w:val="Normal"/>
    <w:link w:val="ac"/>
    <w:unhideWhenUsed/>
    <w:qFormat/>
    <w:rsid w:val="00fe478e"/>
    <w:pPr/>
    <w:rPr>
      <w:rFonts w:ascii="Segoe UI" w:hAnsi="Segoe UI"/>
      <w:sz w:val="18"/>
      <w:szCs w:val="18"/>
    </w:rPr>
  </w:style>
  <w:style w:type="paragraph" w:styleId="BlockText">
    <w:name w:val="Block Text"/>
    <w:basedOn w:val="Normal"/>
    <w:qFormat/>
    <w:rsid w:val="00622e93"/>
    <w:pPr>
      <w:ind w:left="-284" w:right="4954" w:hanging="0"/>
      <w:jc w:val="both"/>
    </w:pPr>
    <w:rPr>
      <w:szCs w:val="20"/>
    </w:rPr>
  </w:style>
  <w:style w:type="paragraph" w:styleId="NormalWeb">
    <w:name w:val="Normal (Web)"/>
    <w:basedOn w:val="Normal"/>
    <w:uiPriority w:val="99"/>
    <w:unhideWhenUsed/>
    <w:qFormat/>
    <w:rsid w:val="009e50f5"/>
    <w:pPr>
      <w:spacing w:beforeAutospacing="1" w:afterAutospacing="1"/>
    </w:pPr>
    <w:rPr>
      <w:lang w:val="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7">
    <w:name w:val="Table Grid"/>
    <w:basedOn w:val="a1"/>
    <w:rsid w:val="00f31573"/>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85016-E457-40AB-9128-1CB6FD856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2438</TotalTime>
  <Application>LibreOffice/6.0.7.3$Linux_X86_64 LibreOffice_project/00m0$Build-3</Application>
  <Pages>4</Pages>
  <Words>1388</Words>
  <Characters>9231</Characters>
  <CharactersWithSpaces>11427</CharactersWithSpaces>
  <Paragraphs>218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2014-07-29T05:45:00Z</dcterms:created>
  <dc:creator>Admin</dc:creator>
  <dc:description/>
  <dc:language>uk-UA</dc:language>
  <cp:lastModifiedBy/>
  <cp:lastPrinted>2020-02-24T07:26:00Z</cp:lastPrinted>
  <dcterms:modified xsi:type="dcterms:W3CDTF">2020-02-27T16:17:56Z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